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4A112" w14:textId="54FDD61C" w:rsidR="006D3CD6" w:rsidRPr="00E217A3" w:rsidRDefault="00777A6F" w:rsidP="006D3CD6">
      <w:pPr>
        <w:widowControl/>
        <w:ind w:left="720" w:hanging="720"/>
        <w:jc w:val="center"/>
        <w:rPr>
          <w:b/>
          <w:bCs/>
          <w:iCs/>
        </w:rPr>
      </w:pPr>
      <w:bookmarkStart w:id="0" w:name="_Ref359234316"/>
      <w:bookmarkStart w:id="1" w:name="_Ref359234325"/>
      <w:r w:rsidRPr="00E217A3">
        <w:rPr>
          <w:b/>
          <w:bCs/>
          <w:iCs/>
        </w:rPr>
        <w:t>Trustee Opinion (</w:t>
      </w:r>
      <w:r w:rsidR="00672CEB">
        <w:rPr>
          <w:b/>
          <w:bCs/>
          <w:iCs/>
        </w:rPr>
        <w:t xml:space="preserve">16 September </w:t>
      </w:r>
      <w:r w:rsidR="00DF5696">
        <w:rPr>
          <w:b/>
          <w:bCs/>
          <w:iCs/>
        </w:rPr>
        <w:t>2026</w:t>
      </w:r>
      <w:r w:rsidRPr="005101B3">
        <w:rPr>
          <w:b/>
          <w:bCs/>
          <w:iCs/>
        </w:rPr>
        <w:t>)</w:t>
      </w:r>
      <w:r w:rsidR="006841A4">
        <w:rPr>
          <w:b/>
          <w:bCs/>
          <w:iCs/>
        </w:rPr>
        <w:t xml:space="preserve"> </w:t>
      </w:r>
    </w:p>
    <w:p w14:paraId="7C64246D" w14:textId="501B5B09" w:rsidR="006D3CD6" w:rsidRDefault="00777A6F" w:rsidP="006D3CD6">
      <w:pPr>
        <w:widowControl/>
        <w:ind w:left="720" w:hanging="720"/>
        <w:rPr>
          <w:b/>
          <w:bCs/>
          <w:i/>
          <w:iCs/>
        </w:rPr>
      </w:pPr>
      <w:r>
        <w:rPr>
          <w:b/>
          <w:bCs/>
          <w:i/>
          <w:iCs/>
        </w:rPr>
        <w:t>1.</w:t>
      </w:r>
      <w:r>
        <w:rPr>
          <w:b/>
          <w:bCs/>
          <w:i/>
          <w:iCs/>
        </w:rPr>
        <w:tab/>
        <w:t xml:space="preserve">The objective of the BFSLA Opinions Project is to </w:t>
      </w:r>
      <w:r w:rsidR="00C86910">
        <w:rPr>
          <w:b/>
          <w:bCs/>
          <w:i/>
          <w:iCs/>
        </w:rPr>
        <w:t>produce</w:t>
      </w:r>
      <w:r>
        <w:rPr>
          <w:b/>
          <w:bCs/>
          <w:i/>
          <w:iCs/>
        </w:rPr>
        <w:t xml:space="preserve"> standard forms of closing opinions for typical banking transactions that are acceptable to both the law firms involved in the </w:t>
      </w:r>
      <w:r w:rsidR="00820A54">
        <w:rPr>
          <w:b/>
          <w:bCs/>
          <w:i/>
          <w:iCs/>
        </w:rPr>
        <w:t xml:space="preserve">transaction </w:t>
      </w:r>
      <w:r>
        <w:rPr>
          <w:b/>
          <w:bCs/>
          <w:i/>
          <w:iCs/>
        </w:rPr>
        <w:t>and the banks</w:t>
      </w:r>
      <w:r w:rsidR="00820A54">
        <w:rPr>
          <w:b/>
          <w:bCs/>
          <w:i/>
          <w:iCs/>
        </w:rPr>
        <w:t xml:space="preserve"> and others</w:t>
      </w:r>
      <w:r>
        <w:rPr>
          <w:b/>
          <w:bCs/>
          <w:i/>
          <w:iCs/>
        </w:rPr>
        <w:t xml:space="preserve"> that are regular addressees of closing opinions.  The BFSLA has also published "Principles of Etiquette" in relation to </w:t>
      </w:r>
      <w:r w:rsidR="00820A54">
        <w:rPr>
          <w:b/>
          <w:bCs/>
          <w:i/>
          <w:iCs/>
        </w:rPr>
        <w:t xml:space="preserve">discussions </w:t>
      </w:r>
      <w:r>
        <w:rPr>
          <w:b/>
          <w:bCs/>
          <w:i/>
          <w:iCs/>
        </w:rPr>
        <w:t xml:space="preserve">between </w:t>
      </w:r>
      <w:r w:rsidR="00820A54">
        <w:rPr>
          <w:b/>
          <w:bCs/>
          <w:i/>
          <w:iCs/>
        </w:rPr>
        <w:t xml:space="preserve">opposing </w:t>
      </w:r>
      <w:r>
        <w:rPr>
          <w:b/>
          <w:bCs/>
          <w:i/>
          <w:iCs/>
        </w:rPr>
        <w:t xml:space="preserve">lawyers </w:t>
      </w:r>
      <w:r w:rsidR="00820A54">
        <w:rPr>
          <w:b/>
          <w:bCs/>
          <w:i/>
          <w:iCs/>
        </w:rPr>
        <w:t xml:space="preserve">on </w:t>
      </w:r>
      <w:r>
        <w:rPr>
          <w:b/>
          <w:bCs/>
          <w:i/>
          <w:iCs/>
        </w:rPr>
        <w:t>closing opinions.</w:t>
      </w:r>
    </w:p>
    <w:p w14:paraId="28D6513A" w14:textId="77777777" w:rsidR="006D3CD6" w:rsidRDefault="00777A6F">
      <w:pPr>
        <w:widowControl/>
        <w:ind w:left="720" w:hanging="720"/>
        <w:rPr>
          <w:b/>
          <w:bCs/>
          <w:i/>
          <w:iCs/>
        </w:rPr>
      </w:pPr>
      <w:bookmarkStart w:id="2" w:name="_DV_M1"/>
      <w:bookmarkEnd w:id="2"/>
      <w:r>
        <w:rPr>
          <w:b/>
          <w:bCs/>
          <w:i/>
          <w:iCs/>
        </w:rPr>
        <w:t>2.</w:t>
      </w:r>
      <w:r>
        <w:rPr>
          <w:b/>
          <w:bCs/>
          <w:i/>
          <w:iCs/>
        </w:rPr>
        <w:tab/>
        <w:t>The closing opinion for each type of banking transaction should cover the issues that are relevant to that type of transaction in a way that is consistent with market expectations.  The language used should be concise and clear.</w:t>
      </w:r>
    </w:p>
    <w:p w14:paraId="40F6D9A3" w14:textId="63BAC432" w:rsidR="006D3CD6" w:rsidRDefault="00777A6F">
      <w:pPr>
        <w:widowControl/>
        <w:ind w:left="720" w:hanging="720"/>
        <w:rPr>
          <w:b/>
          <w:bCs/>
          <w:i/>
          <w:iCs/>
        </w:rPr>
      </w:pPr>
      <w:bookmarkStart w:id="3" w:name="_DV_M2"/>
      <w:bookmarkEnd w:id="3"/>
      <w:r>
        <w:rPr>
          <w:b/>
          <w:bCs/>
          <w:i/>
          <w:iCs/>
        </w:rPr>
        <w:t>3.</w:t>
      </w:r>
      <w:r>
        <w:rPr>
          <w:b/>
          <w:bCs/>
          <w:i/>
          <w:iCs/>
        </w:rPr>
        <w:tab/>
        <w:t>This is a closing opinion for a domestic</w:t>
      </w:r>
      <w:bookmarkStart w:id="4" w:name="_DV_C5"/>
      <w:r w:rsidRPr="00021A4C">
        <w:t xml:space="preserve"> </w:t>
      </w:r>
      <w:r w:rsidRPr="00021A4C">
        <w:rPr>
          <w:b/>
          <w:i/>
        </w:rPr>
        <w:t>syndicated</w:t>
      </w:r>
      <w:bookmarkStart w:id="5" w:name="_DV_M3"/>
      <w:bookmarkEnd w:id="4"/>
      <w:bookmarkEnd w:id="5"/>
      <w:r w:rsidRPr="00021A4C">
        <w:rPr>
          <w:b/>
          <w:bCs/>
          <w:i/>
          <w:iCs/>
        </w:rPr>
        <w:t xml:space="preserve"> </w:t>
      </w:r>
      <w:r>
        <w:rPr>
          <w:b/>
          <w:bCs/>
          <w:i/>
          <w:iCs/>
        </w:rPr>
        <w:t xml:space="preserve">unsecured </w:t>
      </w:r>
      <w:r w:rsidR="00820A54">
        <w:rPr>
          <w:b/>
          <w:bCs/>
          <w:i/>
          <w:iCs/>
        </w:rPr>
        <w:t xml:space="preserve">financing </w:t>
      </w:r>
      <w:r>
        <w:rPr>
          <w:b/>
          <w:bCs/>
          <w:i/>
          <w:iCs/>
        </w:rPr>
        <w:t>facility governed by an Australian law,</w:t>
      </w:r>
      <w:r w:rsidRPr="00DC4595">
        <w:t xml:space="preserve"> </w:t>
      </w:r>
      <w:r w:rsidRPr="00DC4595">
        <w:rPr>
          <w:b/>
          <w:bCs/>
          <w:i/>
          <w:iCs/>
        </w:rPr>
        <w:t>where each lender is acting through an office or branch in Australia</w:t>
      </w:r>
      <w:r>
        <w:rPr>
          <w:b/>
          <w:bCs/>
          <w:i/>
          <w:iCs/>
        </w:rPr>
        <w:t xml:space="preserve">.  It should be used where there is one or more obligors (except obligors whose insolvency or capacity is regulated by particular legislation, </w:t>
      </w:r>
      <w:proofErr w:type="spellStart"/>
      <w:r>
        <w:rPr>
          <w:b/>
          <w:bCs/>
          <w:i/>
          <w:iCs/>
        </w:rPr>
        <w:t>eg</w:t>
      </w:r>
      <w:proofErr w:type="spellEnd"/>
      <w:r>
        <w:rPr>
          <w:b/>
          <w:bCs/>
          <w:i/>
          <w:iCs/>
        </w:rPr>
        <w:t xml:space="preserve"> a bank or insurance company), each of which is incorporated under the Corporations Act (and can be used where one or more of the obligors is acting as trustee of a trust </w:t>
      </w:r>
      <w:r w:rsidR="00820A54">
        <w:rPr>
          <w:b/>
          <w:bCs/>
          <w:i/>
          <w:iCs/>
        </w:rPr>
        <w:t xml:space="preserve">(including a managed investment scheme) </w:t>
      </w:r>
      <w:r>
        <w:rPr>
          <w:b/>
          <w:bCs/>
          <w:i/>
          <w:iCs/>
        </w:rPr>
        <w:t xml:space="preserve">governed by an Australian law). </w:t>
      </w:r>
      <w:r>
        <w:rPr>
          <w:b/>
          <w:bCs/>
          <w:i/>
          <w:iCs/>
          <w:color w:val="000000"/>
        </w:rPr>
        <w:t>For issues to be considered when a firm is giving an opinion in relation to an individual obligor, see the publication “Issues for the opining firm to consider where an obligor is an individual."</w:t>
      </w:r>
    </w:p>
    <w:p w14:paraId="59082B90" w14:textId="72004939" w:rsidR="006D3CD6" w:rsidRDefault="00777A6F">
      <w:pPr>
        <w:widowControl/>
        <w:ind w:left="720" w:hanging="720"/>
        <w:rPr>
          <w:b/>
          <w:bCs/>
          <w:i/>
          <w:iCs/>
          <w:color w:val="000000"/>
        </w:rPr>
      </w:pPr>
      <w:r>
        <w:rPr>
          <w:b/>
          <w:bCs/>
          <w:i/>
          <w:iCs/>
        </w:rPr>
        <w:t>4.</w:t>
      </w:r>
      <w:r>
        <w:rPr>
          <w:b/>
          <w:bCs/>
          <w:i/>
          <w:iCs/>
        </w:rPr>
        <w:tab/>
      </w:r>
      <w:r>
        <w:rPr>
          <w:b/>
          <w:bCs/>
          <w:i/>
          <w:iCs/>
          <w:color w:val="000000"/>
        </w:rPr>
        <w:t xml:space="preserve">This closing opinion is prepared on the basis that it is addressed to the opining firm’s client.  For issues to be considered when a firm is giving </w:t>
      </w:r>
      <w:r w:rsidRPr="005101B3">
        <w:rPr>
          <w:b/>
          <w:bCs/>
          <w:i/>
          <w:iCs/>
          <w:color w:val="000000"/>
        </w:rPr>
        <w:t>an “across-the-t</w:t>
      </w:r>
      <w:r w:rsidR="001042DF" w:rsidRPr="005101B3">
        <w:rPr>
          <w:b/>
          <w:bCs/>
          <w:i/>
          <w:iCs/>
          <w:color w:val="000000"/>
        </w:rPr>
        <w:t>a</w:t>
      </w:r>
      <w:r w:rsidRPr="005101B3">
        <w:rPr>
          <w:b/>
          <w:bCs/>
          <w:i/>
          <w:iCs/>
          <w:color w:val="000000"/>
        </w:rPr>
        <w:t>ble” closing opinion where the opining firm has been instructed by their</w:t>
      </w:r>
      <w:r>
        <w:rPr>
          <w:b/>
          <w:bCs/>
          <w:i/>
          <w:iCs/>
          <w:color w:val="000000"/>
        </w:rPr>
        <w:t xml:space="preserve"> client to address an opinion to their counterparty or other third party, see the publication “Note on ‘Across-the-table’ Opinions."</w:t>
      </w:r>
      <w:r w:rsidR="005A7FC5">
        <w:rPr>
          <w:b/>
          <w:bCs/>
          <w:i/>
          <w:iCs/>
          <w:color w:val="000000"/>
        </w:rPr>
        <w:t xml:space="preserve"> </w:t>
      </w:r>
    </w:p>
    <w:p w14:paraId="297C1BFD" w14:textId="2B42776C" w:rsidR="006D3CD6" w:rsidRPr="00021A4C" w:rsidRDefault="00D07CEE">
      <w:pPr>
        <w:widowControl/>
        <w:ind w:left="720" w:hanging="720"/>
        <w:rPr>
          <w:b/>
          <w:bCs/>
          <w:i/>
          <w:iCs/>
        </w:rPr>
      </w:pPr>
      <w:r w:rsidRPr="00672CEB">
        <w:rPr>
          <w:b/>
          <w:bCs/>
          <w:i/>
          <w:iCs/>
        </w:rPr>
        <w:t>5.</w:t>
      </w:r>
      <w:r w:rsidRPr="00672CEB">
        <w:rPr>
          <w:b/>
          <w:bCs/>
          <w:i/>
          <w:iCs/>
        </w:rPr>
        <w:tab/>
        <w:t xml:space="preserve">This closing opinion was adopted by the BFSLA Opinions Committee on </w:t>
      </w:r>
      <w:r w:rsidR="00672CEB" w:rsidRPr="00672CEB">
        <w:rPr>
          <w:b/>
          <w:bCs/>
          <w:i/>
          <w:iCs/>
        </w:rPr>
        <w:t>16</w:t>
      </w:r>
      <w:r w:rsidR="000C09A3" w:rsidRPr="00672CEB">
        <w:rPr>
          <w:b/>
          <w:bCs/>
          <w:i/>
          <w:iCs/>
        </w:rPr>
        <w:t xml:space="preserve"> September 2026 </w:t>
      </w:r>
      <w:r w:rsidRPr="00672CEB">
        <w:rPr>
          <w:b/>
          <w:bCs/>
          <w:i/>
          <w:iCs/>
          <w:color w:val="000000"/>
        </w:rPr>
        <w:t>and</w:t>
      </w:r>
      <w:r w:rsidRPr="00672CEB">
        <w:rPr>
          <w:b/>
          <w:bCs/>
          <w:i/>
          <w:iCs/>
        </w:rPr>
        <w:t xml:space="preserve"> reflects the law as then established</w:t>
      </w:r>
      <w:r w:rsidR="00DF5696" w:rsidRPr="00672CEB">
        <w:rPr>
          <w:b/>
          <w:bCs/>
          <w:i/>
          <w:iCs/>
        </w:rPr>
        <w:t>.</w:t>
      </w:r>
      <w:r w:rsidR="007B06AD">
        <w:rPr>
          <w:b/>
          <w:bCs/>
          <w:i/>
          <w:iCs/>
        </w:rPr>
        <w:t xml:space="preserve"> </w:t>
      </w:r>
    </w:p>
    <w:p w14:paraId="194A893C" w14:textId="77777777" w:rsidR="006D3CD6" w:rsidRDefault="00777A6F">
      <w:pPr>
        <w:widowControl/>
        <w:jc w:val="center"/>
      </w:pPr>
      <w:bookmarkStart w:id="6" w:name="_DV_M4"/>
      <w:bookmarkEnd w:id="6"/>
      <w:r>
        <w:t>[</w:t>
      </w:r>
      <w:r>
        <w:rPr>
          <w:b/>
          <w:bCs/>
          <w:i/>
          <w:iCs/>
        </w:rPr>
        <w:t>Law firm letterhead</w:t>
      </w:r>
      <w:r>
        <w:t>]</w:t>
      </w:r>
      <w:r>
        <w:rPr>
          <w:b/>
          <w:bCs/>
          <w:i/>
          <w:iCs/>
        </w:rPr>
        <w:t xml:space="preserve"> </w:t>
      </w:r>
    </w:p>
    <w:p w14:paraId="5B7F91D8" w14:textId="77777777" w:rsidR="006D3CD6" w:rsidRDefault="00777A6F">
      <w:pPr>
        <w:widowControl/>
        <w:tabs>
          <w:tab w:val="left" w:pos="7020"/>
          <w:tab w:val="left" w:pos="8505"/>
        </w:tabs>
        <w:rPr>
          <w:rFonts w:eastAsia="SimSun"/>
        </w:rPr>
      </w:pPr>
      <w:bookmarkStart w:id="7" w:name="_DV_C9"/>
      <w:r w:rsidRPr="00087400">
        <w:rPr>
          <w:rFonts w:eastAsia="SimSun"/>
        </w:rPr>
        <w:t>[Date]</w:t>
      </w:r>
    </w:p>
    <w:p w14:paraId="68AC4F99" w14:textId="376539A6" w:rsidR="006D3CD6" w:rsidRPr="00021A4C" w:rsidRDefault="00777A6F">
      <w:pPr>
        <w:widowControl/>
        <w:tabs>
          <w:tab w:val="left" w:pos="7020"/>
          <w:tab w:val="left" w:pos="8505"/>
        </w:tabs>
        <w:rPr>
          <w:rFonts w:eastAsia="SimSun"/>
        </w:rPr>
      </w:pPr>
      <w:r w:rsidRPr="00021A4C">
        <w:rPr>
          <w:rFonts w:eastAsia="SimSun"/>
        </w:rPr>
        <w:t>Each [Lender]</w:t>
      </w:r>
      <w:r>
        <w:rPr>
          <w:rStyle w:val="EndnoteReference"/>
          <w:rFonts w:eastAsia="SimSun"/>
        </w:rPr>
        <w:endnoteReference w:id="1"/>
      </w:r>
      <w:bookmarkStart w:id="9" w:name="_DV_C11"/>
      <w:bookmarkEnd w:id="7"/>
      <w:r w:rsidRPr="00021A4C">
        <w:rPr>
          <w:rFonts w:eastAsia="SimSun"/>
        </w:rPr>
        <w:t xml:space="preserve"> as defined in the Agreem</w:t>
      </w:r>
      <w:bookmarkEnd w:id="9"/>
      <w:r w:rsidR="001042DF">
        <w:rPr>
          <w:rFonts w:eastAsia="SimSun"/>
        </w:rPr>
        <w:t>ent</w:t>
      </w:r>
    </w:p>
    <w:p w14:paraId="35768596" w14:textId="77777777" w:rsidR="006D3CD6" w:rsidRPr="00021A4C" w:rsidRDefault="00777A6F">
      <w:pPr>
        <w:widowControl/>
        <w:tabs>
          <w:tab w:val="left" w:pos="7020"/>
          <w:tab w:val="left" w:pos="8505"/>
        </w:tabs>
        <w:rPr>
          <w:rFonts w:eastAsia="SimSun"/>
        </w:rPr>
      </w:pPr>
      <w:bookmarkStart w:id="10" w:name="_DV_C12"/>
      <w:r w:rsidRPr="00021A4C">
        <w:rPr>
          <w:rFonts w:eastAsia="SimSun"/>
        </w:rPr>
        <w:t>OR</w:t>
      </w:r>
      <w:bookmarkEnd w:id="10"/>
    </w:p>
    <w:p w14:paraId="1EEF9FA4" w14:textId="77777777" w:rsidR="006D3CD6" w:rsidRDefault="00777A6F">
      <w:pPr>
        <w:widowControl/>
        <w:tabs>
          <w:tab w:val="left" w:pos="7020"/>
          <w:tab w:val="left" w:pos="8505"/>
        </w:tabs>
        <w:rPr>
          <w:rFonts w:eastAsia="SimSun"/>
        </w:rPr>
      </w:pPr>
      <w:bookmarkStart w:id="11" w:name="_DV_C13"/>
      <w:r w:rsidRPr="00021A4C">
        <w:rPr>
          <w:rFonts w:eastAsia="SimSun"/>
        </w:rPr>
        <w:t>Each person listed as a [Lender] in schedule [</w:t>
      </w:r>
      <w:r>
        <w:rPr>
          <w:rFonts w:ascii="Verdana" w:hAnsi="Verdana"/>
        </w:rPr>
        <w:t>●</w:t>
      </w:r>
      <w:r w:rsidRPr="00021A4C">
        <w:rPr>
          <w:rFonts w:eastAsia="SimSun"/>
        </w:rPr>
        <w:t xml:space="preserve">] to the </w:t>
      </w:r>
      <w:proofErr w:type="gramStart"/>
      <w:r w:rsidRPr="00021A4C">
        <w:rPr>
          <w:rFonts w:eastAsia="SimSun"/>
        </w:rPr>
        <w:t>Agreement[</w:t>
      </w:r>
      <w:proofErr w:type="gramEnd"/>
      <w:r w:rsidRPr="00021A4C">
        <w:rPr>
          <w:rFonts w:eastAsia="SimSun"/>
        </w:rPr>
        <w:t>, and any other person who becomes a [Lender] under the Agreement [within [</w:t>
      </w:r>
      <w:r>
        <w:rPr>
          <w:rFonts w:ascii="Verdana" w:hAnsi="Verdana"/>
        </w:rPr>
        <w:t>●</w:t>
      </w:r>
      <w:r>
        <w:rPr>
          <w:rFonts w:eastAsia="SimSun"/>
        </w:rPr>
        <w:t>] months of the date of the</w:t>
      </w:r>
      <w:r w:rsidRPr="00021A4C">
        <w:rPr>
          <w:rFonts w:eastAsia="SimSun"/>
        </w:rPr>
        <w:t xml:space="preserve"> Agreement</w:t>
      </w:r>
      <w:r>
        <w:rPr>
          <w:rFonts w:eastAsia="SimSun"/>
        </w:rPr>
        <w:t xml:space="preserve"> </w:t>
      </w:r>
      <w:r w:rsidRPr="00021A4C">
        <w:rPr>
          <w:rFonts w:eastAsia="SimSun"/>
        </w:rPr>
        <w:t>/</w:t>
      </w:r>
      <w:r>
        <w:rPr>
          <w:rFonts w:eastAsia="SimSun"/>
        </w:rPr>
        <w:t xml:space="preserve"> </w:t>
      </w:r>
      <w:r w:rsidRPr="00021A4C">
        <w:rPr>
          <w:rFonts w:eastAsia="SimSun"/>
        </w:rPr>
        <w:t>as part of the primary syndication of the facilities under the Agreement]]</w:t>
      </w:r>
      <w:r>
        <w:rPr>
          <w:rStyle w:val="EndnoteReference"/>
          <w:rFonts w:eastAsia="SimSun"/>
        </w:rPr>
        <w:endnoteReference w:id="2"/>
      </w:r>
      <w:bookmarkEnd w:id="11"/>
    </w:p>
    <w:p w14:paraId="69CC0961" w14:textId="77777777" w:rsidR="006D3CD6" w:rsidRDefault="00777A6F">
      <w:pPr>
        <w:widowControl/>
        <w:tabs>
          <w:tab w:val="left" w:pos="7020"/>
          <w:tab w:val="left" w:pos="8505"/>
        </w:tabs>
        <w:rPr>
          <w:rFonts w:eastAsia="SimSun"/>
        </w:rPr>
      </w:pPr>
      <w:bookmarkStart w:id="12" w:name="_DV_C15"/>
      <w:r w:rsidRPr="00021A4C">
        <w:rPr>
          <w:rFonts w:eastAsia="SimSun"/>
        </w:rPr>
        <w:t>[</w:t>
      </w:r>
      <w:r w:rsidRPr="00B9241F">
        <w:rPr>
          <w:rFonts w:eastAsia="SimSun"/>
          <w:b/>
          <w:i/>
        </w:rPr>
        <w:t>Name and address of facility agent</w:t>
      </w:r>
      <w:r w:rsidRPr="00021A4C">
        <w:rPr>
          <w:rFonts w:eastAsia="SimSun"/>
        </w:rPr>
        <w:t>]</w:t>
      </w:r>
      <w:bookmarkEnd w:id="12"/>
    </w:p>
    <w:p w14:paraId="5390ADEC" w14:textId="77777777" w:rsidR="006D3CD6" w:rsidRDefault="00777A6F">
      <w:pPr>
        <w:widowControl/>
        <w:tabs>
          <w:tab w:val="left" w:pos="7020"/>
        </w:tabs>
        <w:spacing w:before="0"/>
        <w:rPr>
          <w:rFonts w:eastAsia="SimSun"/>
        </w:rPr>
      </w:pPr>
      <w:bookmarkStart w:id="13" w:name="_DV_C16"/>
      <w:r w:rsidRPr="00021A4C">
        <w:rPr>
          <w:rFonts w:eastAsia="SimSun"/>
        </w:rPr>
        <w:t>as Facility Agent</w:t>
      </w:r>
      <w:bookmarkEnd w:id="13"/>
    </w:p>
    <w:p w14:paraId="706D0ED9" w14:textId="77777777" w:rsidR="006D3CD6" w:rsidRDefault="00777A6F">
      <w:pPr>
        <w:widowControl/>
        <w:tabs>
          <w:tab w:val="left" w:pos="7020"/>
        </w:tabs>
        <w:spacing w:before="240"/>
        <w:rPr>
          <w:rFonts w:eastAsia="SimSun"/>
        </w:rPr>
      </w:pPr>
      <w:bookmarkStart w:id="14" w:name="_DV_C17"/>
      <w:r w:rsidRPr="00021A4C">
        <w:rPr>
          <w:rFonts w:eastAsia="SimSun"/>
        </w:rPr>
        <w:t>[</w:t>
      </w:r>
      <w:r w:rsidRPr="00B9241F">
        <w:rPr>
          <w:rFonts w:eastAsia="SimSun"/>
          <w:b/>
          <w:i/>
        </w:rPr>
        <w:t>Name and address of arrangers</w:t>
      </w:r>
      <w:r w:rsidRPr="00021A4C">
        <w:rPr>
          <w:rFonts w:eastAsia="SimSun"/>
        </w:rPr>
        <w:t>]</w:t>
      </w:r>
      <w:r w:rsidRPr="00021A4C">
        <w:rPr>
          <w:rFonts w:eastAsia="SimSun"/>
        </w:rPr>
        <w:br/>
        <w:t>as Arranger(s)</w:t>
      </w:r>
      <w:bookmarkEnd w:id="14"/>
    </w:p>
    <w:p w14:paraId="750C93E1" w14:textId="7516ED66" w:rsidR="006D3CD6" w:rsidRDefault="006D3CD6">
      <w:pPr>
        <w:widowControl/>
        <w:tabs>
          <w:tab w:val="left" w:pos="7020"/>
        </w:tabs>
        <w:rPr>
          <w:rFonts w:eastAsia="SimSun"/>
        </w:rPr>
      </w:pPr>
    </w:p>
    <w:p w14:paraId="7E9211AD" w14:textId="77777777" w:rsidR="006D3CD6" w:rsidRDefault="00777A6F">
      <w:pPr>
        <w:widowControl/>
        <w:tabs>
          <w:tab w:val="left" w:pos="7020"/>
        </w:tabs>
        <w:spacing w:before="0"/>
        <w:rPr>
          <w:rFonts w:eastAsia="SimSun"/>
        </w:rPr>
      </w:pPr>
      <w:bookmarkStart w:id="15" w:name="_DV_M5"/>
      <w:bookmarkStart w:id="16" w:name="_DV_M6"/>
      <w:bookmarkEnd w:id="15"/>
      <w:bookmarkEnd w:id="16"/>
      <w:r>
        <w:rPr>
          <w:rFonts w:eastAsia="SimSun"/>
        </w:rPr>
        <w:t>[</w:t>
      </w:r>
      <w:r>
        <w:rPr>
          <w:rFonts w:eastAsia="SimSun"/>
          <w:b/>
          <w:bCs/>
          <w:i/>
          <w:iCs/>
        </w:rPr>
        <w:t>Description of facility / transaction</w:t>
      </w:r>
      <w:r>
        <w:rPr>
          <w:rFonts w:eastAsia="SimSun"/>
        </w:rPr>
        <w:t>]</w:t>
      </w:r>
    </w:p>
    <w:p w14:paraId="44BD0C43" w14:textId="77777777" w:rsidR="006D3CD6" w:rsidRDefault="00777A6F">
      <w:pPr>
        <w:widowControl/>
        <w:tabs>
          <w:tab w:val="left" w:pos="7020"/>
        </w:tabs>
        <w:rPr>
          <w:rFonts w:eastAsia="SimSun"/>
        </w:rPr>
      </w:pPr>
      <w:bookmarkStart w:id="17" w:name="_DV_M7"/>
      <w:bookmarkEnd w:id="17"/>
      <w:r>
        <w:rPr>
          <w:rFonts w:eastAsia="SimSun"/>
        </w:rPr>
        <w:t xml:space="preserve">We have acted as </w:t>
      </w:r>
      <w:bookmarkStart w:id="18" w:name="_DV_M8"/>
      <w:bookmarkEnd w:id="18"/>
      <w:r>
        <w:rPr>
          <w:rFonts w:eastAsia="SimSun"/>
        </w:rPr>
        <w:t xml:space="preserve">legal advisers </w:t>
      </w:r>
      <w:bookmarkStart w:id="19" w:name="_DV_C21"/>
      <w:r w:rsidRPr="00021A4C">
        <w:rPr>
          <w:rFonts w:eastAsia="SimSun"/>
        </w:rPr>
        <w:t>to [</w:t>
      </w:r>
      <w:r w:rsidRPr="00B9241F">
        <w:rPr>
          <w:rFonts w:eastAsia="SimSun"/>
          <w:b/>
          <w:i/>
        </w:rPr>
        <w:t xml:space="preserve">insert name of client, </w:t>
      </w:r>
      <w:proofErr w:type="spellStart"/>
      <w:r w:rsidRPr="00B9241F">
        <w:rPr>
          <w:rFonts w:eastAsia="SimSun"/>
          <w:b/>
          <w:i/>
        </w:rPr>
        <w:t>eg</w:t>
      </w:r>
      <w:proofErr w:type="spellEnd"/>
      <w:r w:rsidRPr="00B9241F">
        <w:rPr>
          <w:rFonts w:eastAsia="SimSun"/>
          <w:b/>
          <w:i/>
        </w:rPr>
        <w:t xml:space="preserve"> facility agent or arranger</w:t>
      </w:r>
      <w:r w:rsidRPr="00021A4C">
        <w:rPr>
          <w:rFonts w:eastAsia="SimSun"/>
        </w:rPr>
        <w:t xml:space="preserve">] </w:t>
      </w:r>
      <w:bookmarkStart w:id="20" w:name="_DV_M9"/>
      <w:bookmarkEnd w:id="19"/>
      <w:bookmarkEnd w:id="20"/>
      <w:r>
        <w:rPr>
          <w:rFonts w:eastAsia="SimSun"/>
        </w:rPr>
        <w:t>in relation to the [</w:t>
      </w:r>
      <w:r w:rsidRPr="00B9241F">
        <w:rPr>
          <w:rFonts w:eastAsia="SimSun"/>
          <w:b/>
          <w:i/>
        </w:rPr>
        <w:t xml:space="preserve">insert </w:t>
      </w:r>
      <w:r w:rsidRPr="00B9241F">
        <w:rPr>
          <w:rFonts w:eastAsia="SimSun"/>
          <w:b/>
          <w:bCs/>
          <w:i/>
          <w:iCs/>
        </w:rPr>
        <w:t>name of Agreement</w:t>
      </w:r>
      <w:r>
        <w:rPr>
          <w:rFonts w:eastAsia="SimSun"/>
        </w:rPr>
        <w:t>] (</w:t>
      </w:r>
      <w:r>
        <w:rPr>
          <w:rFonts w:eastAsia="SimSun"/>
          <w:b/>
          <w:bCs/>
        </w:rPr>
        <w:t>Agreement</w:t>
      </w:r>
      <w:r>
        <w:rPr>
          <w:rFonts w:eastAsia="SimSun"/>
        </w:rPr>
        <w:t>) dated [</w:t>
      </w:r>
      <w:bookmarkStart w:id="21" w:name="_DV_M10"/>
      <w:bookmarkEnd w:id="21"/>
      <w:r>
        <w:rPr>
          <w:rFonts w:ascii="Verdana" w:hAnsi="Verdana"/>
        </w:rPr>
        <w:t>●</w:t>
      </w:r>
      <w:r>
        <w:rPr>
          <w:rFonts w:eastAsia="SimSun"/>
        </w:rPr>
        <w:t xml:space="preserve">] between the Obligor[s] [(as defined below)] and </w:t>
      </w:r>
      <w:bookmarkStart w:id="22" w:name="_DV_C23"/>
      <w:r w:rsidRPr="00021A4C">
        <w:rPr>
          <w:rFonts w:eastAsia="SimSun"/>
        </w:rPr>
        <w:t>[</w:t>
      </w:r>
      <w:r w:rsidRPr="00B9241F">
        <w:rPr>
          <w:rFonts w:eastAsia="SimSun"/>
          <w:b/>
          <w:i/>
        </w:rPr>
        <w:t>insert details of other parties</w:t>
      </w:r>
      <w:r w:rsidRPr="00021A4C">
        <w:rPr>
          <w:rFonts w:eastAsia="SimSun"/>
        </w:rPr>
        <w:t>]</w:t>
      </w:r>
      <w:bookmarkStart w:id="23" w:name="_DV_M11"/>
      <w:bookmarkEnd w:id="22"/>
      <w:bookmarkEnd w:id="23"/>
      <w:r>
        <w:rPr>
          <w:rFonts w:eastAsia="SimSun"/>
        </w:rPr>
        <w:t xml:space="preserve">.  </w:t>
      </w:r>
    </w:p>
    <w:p w14:paraId="238C4E44" w14:textId="77777777" w:rsidR="006D3CD6" w:rsidRDefault="00777A6F">
      <w:pPr>
        <w:pStyle w:val="Level1"/>
        <w:keepNext/>
        <w:widowControl/>
        <w:rPr>
          <w:rFonts w:eastAsia="SimSun"/>
          <w:b/>
          <w:bCs/>
        </w:rPr>
      </w:pPr>
      <w:bookmarkStart w:id="24" w:name="_DV_M12"/>
      <w:bookmarkEnd w:id="24"/>
      <w:r>
        <w:rPr>
          <w:rFonts w:eastAsia="SimSun"/>
          <w:b/>
          <w:bCs/>
        </w:rPr>
        <w:lastRenderedPageBreak/>
        <w:t>DEFINITIONS</w:t>
      </w:r>
    </w:p>
    <w:p w14:paraId="58A35E11" w14:textId="77777777" w:rsidR="006D3CD6" w:rsidRDefault="00777A6F">
      <w:pPr>
        <w:pStyle w:val="Level1fo"/>
        <w:keepNext/>
        <w:widowControl/>
        <w:rPr>
          <w:rFonts w:eastAsia="SimSun"/>
        </w:rPr>
      </w:pPr>
      <w:bookmarkStart w:id="25" w:name="_DV_M13"/>
      <w:bookmarkEnd w:id="25"/>
      <w:r>
        <w:rPr>
          <w:rFonts w:eastAsia="SimSun"/>
        </w:rPr>
        <w:t>In this opinion:</w:t>
      </w:r>
    </w:p>
    <w:p w14:paraId="0E5CAA70" w14:textId="77777777" w:rsidR="006D3CD6" w:rsidRDefault="00777A6F" w:rsidP="006D3CD6">
      <w:pPr>
        <w:pStyle w:val="Levela"/>
        <w:widowControl/>
        <w:tabs>
          <w:tab w:val="clear" w:pos="2564"/>
          <w:tab w:val="num" w:pos="1440"/>
        </w:tabs>
        <w:ind w:left="1440"/>
        <w:rPr>
          <w:rFonts w:eastAsia="SimSun"/>
        </w:rPr>
      </w:pPr>
      <w:bookmarkStart w:id="26" w:name="_DV_M14"/>
      <w:bookmarkEnd w:id="26"/>
      <w:r>
        <w:rPr>
          <w:rFonts w:eastAsia="SimSun"/>
          <w:b/>
          <w:bCs/>
        </w:rPr>
        <w:t>ASIC</w:t>
      </w:r>
      <w:r>
        <w:rPr>
          <w:rFonts w:eastAsia="SimSun"/>
        </w:rPr>
        <w:t xml:space="preserve"> means the Australian Securities and Investments Commission;</w:t>
      </w:r>
    </w:p>
    <w:p w14:paraId="1403529F" w14:textId="77777777" w:rsidR="006D3CD6" w:rsidRDefault="00777A6F" w:rsidP="006D3CD6">
      <w:pPr>
        <w:pStyle w:val="Levela"/>
        <w:widowControl/>
        <w:tabs>
          <w:tab w:val="clear" w:pos="2564"/>
          <w:tab w:val="num" w:pos="1440"/>
        </w:tabs>
        <w:ind w:left="1440"/>
        <w:rPr>
          <w:rFonts w:eastAsia="SimSun"/>
        </w:rPr>
      </w:pPr>
      <w:bookmarkStart w:id="27" w:name="_DV_M15"/>
      <w:bookmarkEnd w:id="27"/>
      <w:r>
        <w:rPr>
          <w:rFonts w:eastAsia="SimSun"/>
          <w:b/>
          <w:bCs/>
        </w:rPr>
        <w:t xml:space="preserve">Corporations Act </w:t>
      </w:r>
      <w:r>
        <w:rPr>
          <w:rFonts w:eastAsia="SimSun"/>
        </w:rPr>
        <w:t xml:space="preserve">means the </w:t>
      </w:r>
      <w:r>
        <w:rPr>
          <w:rFonts w:eastAsia="SimSun"/>
          <w:i/>
          <w:iCs/>
        </w:rPr>
        <w:t>Corporations Act 2001</w:t>
      </w:r>
      <w:r>
        <w:rPr>
          <w:rFonts w:eastAsia="SimSun"/>
        </w:rPr>
        <w:t xml:space="preserve"> (</w:t>
      </w:r>
      <w:proofErr w:type="spellStart"/>
      <w:r>
        <w:rPr>
          <w:rFonts w:eastAsia="SimSun"/>
        </w:rPr>
        <w:t>Cth</w:t>
      </w:r>
      <w:proofErr w:type="spellEnd"/>
      <w:r>
        <w:rPr>
          <w:rFonts w:eastAsia="SimSun"/>
        </w:rPr>
        <w:t>);</w:t>
      </w:r>
    </w:p>
    <w:p w14:paraId="5E855F9F" w14:textId="77777777" w:rsidR="006D3CD6" w:rsidRDefault="00777A6F" w:rsidP="006D3CD6">
      <w:pPr>
        <w:pStyle w:val="Levela"/>
        <w:widowControl/>
        <w:tabs>
          <w:tab w:val="clear" w:pos="2564"/>
          <w:tab w:val="num" w:pos="1440"/>
        </w:tabs>
        <w:ind w:left="1440"/>
        <w:rPr>
          <w:rFonts w:eastAsia="SimSun"/>
        </w:rPr>
      </w:pPr>
      <w:bookmarkStart w:id="28" w:name="_DV_M16"/>
      <w:bookmarkEnd w:id="28"/>
      <w:r>
        <w:rPr>
          <w:rFonts w:eastAsia="SimSun"/>
          <w:b/>
          <w:bCs/>
        </w:rPr>
        <w:t xml:space="preserve">law of a Relevant Jurisdiction </w:t>
      </w:r>
      <w:r>
        <w:rPr>
          <w:rFonts w:eastAsia="SimSun"/>
        </w:rPr>
        <w:t>means the common law, principles of equity and laws constituted by legislation that is available to the public generally, in force in the Relevant Jurisdiction;</w:t>
      </w:r>
    </w:p>
    <w:p w14:paraId="3DB24A00" w14:textId="77777777" w:rsidR="006D3CD6" w:rsidRPr="00E60658" w:rsidRDefault="00777A6F" w:rsidP="006D3CD6">
      <w:pPr>
        <w:pStyle w:val="Levela"/>
        <w:tabs>
          <w:tab w:val="clear" w:pos="2564"/>
          <w:tab w:val="num" w:pos="1418"/>
        </w:tabs>
        <w:ind w:left="1418" w:hanging="709"/>
        <w:rPr>
          <w:rFonts w:eastAsia="SimSun"/>
        </w:rPr>
      </w:pPr>
      <w:r w:rsidRPr="00E60658">
        <w:rPr>
          <w:rFonts w:eastAsia="SimSun"/>
        </w:rPr>
        <w:t>[</w:t>
      </w:r>
      <w:r w:rsidRPr="006C7235">
        <w:rPr>
          <w:rFonts w:eastAsia="SimSun"/>
          <w:b/>
        </w:rPr>
        <w:t xml:space="preserve">Obligor </w:t>
      </w:r>
      <w:r w:rsidRPr="00E60658">
        <w:rPr>
          <w:rFonts w:eastAsia="SimSun"/>
        </w:rPr>
        <w:t>means:</w:t>
      </w:r>
    </w:p>
    <w:p w14:paraId="7BCDC9C6" w14:textId="77777777" w:rsidR="006D3CD6" w:rsidRDefault="00777A6F" w:rsidP="006D3CD6">
      <w:pPr>
        <w:pStyle w:val="Levelafo"/>
        <w:numPr>
          <w:ilvl w:val="3"/>
          <w:numId w:val="12"/>
        </w:numPr>
        <w:rPr>
          <w:rFonts w:eastAsia="SimSun"/>
        </w:rPr>
      </w:pPr>
      <w:r>
        <w:rPr>
          <w:rFonts w:eastAsia="SimSun"/>
        </w:rPr>
        <w:t>[</w:t>
      </w:r>
      <w:r w:rsidRPr="00B9241F">
        <w:rPr>
          <w:rFonts w:eastAsia="SimSun"/>
          <w:b/>
          <w:i/>
        </w:rPr>
        <w:t>insert name and ABN of Obligor</w:t>
      </w:r>
      <w:r>
        <w:rPr>
          <w:rFonts w:eastAsia="SimSun"/>
        </w:rPr>
        <w:t>]</w:t>
      </w:r>
      <w:r w:rsidRPr="00021A4C">
        <w:rPr>
          <w:rFonts w:eastAsia="SimSun"/>
        </w:rPr>
        <w:t>;</w:t>
      </w:r>
      <w:r>
        <w:rPr>
          <w:rFonts w:eastAsia="SimSun"/>
        </w:rPr>
        <w:t xml:space="preserve"> [or]</w:t>
      </w:r>
    </w:p>
    <w:p w14:paraId="20C2A0BA" w14:textId="77777777" w:rsidR="006D3CD6" w:rsidRPr="00DA50A6" w:rsidRDefault="00777A6F" w:rsidP="006D3CD6">
      <w:pPr>
        <w:pStyle w:val="Levelafo"/>
        <w:numPr>
          <w:ilvl w:val="3"/>
          <w:numId w:val="12"/>
        </w:numPr>
        <w:rPr>
          <w:rFonts w:eastAsia="SimSun"/>
        </w:rPr>
      </w:pPr>
      <w:r w:rsidRPr="00DA50A6">
        <w:rPr>
          <w:rFonts w:eastAsia="SimSun"/>
        </w:rPr>
        <w:t>[</w:t>
      </w:r>
      <w:r w:rsidRPr="00B9241F">
        <w:rPr>
          <w:rFonts w:eastAsia="SimSun"/>
          <w:b/>
          <w:i/>
        </w:rPr>
        <w:t>repeat for each additional Obligor</w:t>
      </w:r>
      <w:r w:rsidRPr="00B9241F">
        <w:rPr>
          <w:rFonts w:eastAsia="SimSun"/>
          <w:b/>
        </w:rPr>
        <w:t xml:space="preserve"> (</w:t>
      </w:r>
      <w:r w:rsidRPr="00B9241F">
        <w:rPr>
          <w:rFonts w:eastAsia="SimSun"/>
          <w:b/>
          <w:i/>
        </w:rPr>
        <w:t>including</w:t>
      </w:r>
      <w:r>
        <w:rPr>
          <w:rFonts w:eastAsia="SimSun"/>
          <w:b/>
          <w:i/>
        </w:rPr>
        <w:t>, without limitation,</w:t>
      </w:r>
      <w:r w:rsidRPr="00B9241F">
        <w:rPr>
          <w:rFonts w:eastAsia="SimSun"/>
          <w:b/>
          <w:i/>
        </w:rPr>
        <w:t xml:space="preserve"> each Trustee Obligor</w:t>
      </w:r>
      <w:r w:rsidRPr="00B9241F">
        <w:rPr>
          <w:rFonts w:eastAsia="SimSun"/>
          <w:b/>
        </w:rPr>
        <w:t>)</w:t>
      </w:r>
      <w:r w:rsidRPr="00DA50A6">
        <w:rPr>
          <w:rFonts w:eastAsia="SimSun"/>
        </w:rPr>
        <w:t xml:space="preserve">;] </w:t>
      </w:r>
    </w:p>
    <w:p w14:paraId="659CB358" w14:textId="77777777" w:rsidR="006D3CD6" w:rsidRPr="00E60658" w:rsidRDefault="00777A6F" w:rsidP="006D3CD6">
      <w:pPr>
        <w:pStyle w:val="Levela"/>
        <w:tabs>
          <w:tab w:val="clear" w:pos="2564"/>
          <w:tab w:val="num" w:pos="1418"/>
        </w:tabs>
        <w:ind w:left="1418" w:hanging="709"/>
        <w:rPr>
          <w:rFonts w:eastAsia="SimSun"/>
        </w:rPr>
      </w:pPr>
      <w:bookmarkStart w:id="29" w:name="_DV_M17"/>
      <w:bookmarkEnd w:id="29"/>
      <w:r w:rsidRPr="00E60658">
        <w:rPr>
          <w:rFonts w:eastAsia="SimSun"/>
        </w:rPr>
        <w:t>[</w:t>
      </w:r>
      <w:r w:rsidRPr="006C7235">
        <w:rPr>
          <w:rFonts w:eastAsia="SimSun"/>
          <w:b/>
        </w:rPr>
        <w:t>Power of Attorney</w:t>
      </w:r>
      <w:r w:rsidRPr="00E60658">
        <w:rPr>
          <w:rFonts w:eastAsia="SimSun"/>
        </w:rPr>
        <w:t xml:space="preserve"> means the power of attorney</w:t>
      </w:r>
      <w:r>
        <w:rPr>
          <w:rFonts w:eastAsia="SimSun"/>
        </w:rPr>
        <w:t xml:space="preserve"> granted by:</w:t>
      </w:r>
    </w:p>
    <w:p w14:paraId="47992484" w14:textId="77777777" w:rsidR="006D3CD6" w:rsidRDefault="00777A6F" w:rsidP="006D3CD6">
      <w:pPr>
        <w:pStyle w:val="Levelafo"/>
        <w:numPr>
          <w:ilvl w:val="3"/>
          <w:numId w:val="12"/>
        </w:numPr>
        <w:rPr>
          <w:rFonts w:eastAsia="SimSun"/>
        </w:rPr>
      </w:pPr>
      <w:r>
        <w:rPr>
          <w:rFonts w:eastAsia="SimSun"/>
        </w:rPr>
        <w:t>[</w:t>
      </w:r>
      <w:r w:rsidRPr="00B9241F">
        <w:rPr>
          <w:rFonts w:eastAsia="SimSun"/>
          <w:b/>
          <w:i/>
        </w:rPr>
        <w:t>insert name of Obligor</w:t>
      </w:r>
      <w:r>
        <w:rPr>
          <w:rFonts w:eastAsia="SimSun"/>
        </w:rPr>
        <w:t xml:space="preserve">] </w:t>
      </w:r>
      <w:r w:rsidRPr="00021A4C">
        <w:rPr>
          <w:rFonts w:eastAsia="SimSun"/>
        </w:rPr>
        <w:t>dated [●];</w:t>
      </w:r>
      <w:r>
        <w:rPr>
          <w:rFonts w:eastAsia="SimSun"/>
        </w:rPr>
        <w:t xml:space="preserve"> [or]</w:t>
      </w:r>
    </w:p>
    <w:p w14:paraId="591AA4DB" w14:textId="77777777" w:rsidR="006D3CD6" w:rsidRPr="00021A4C" w:rsidRDefault="00777A6F" w:rsidP="006D3CD6">
      <w:pPr>
        <w:pStyle w:val="Levelafo"/>
        <w:numPr>
          <w:ilvl w:val="3"/>
          <w:numId w:val="12"/>
        </w:numPr>
        <w:rPr>
          <w:rFonts w:eastAsia="SimSun"/>
        </w:rPr>
      </w:pPr>
      <w:r>
        <w:rPr>
          <w:rFonts w:eastAsia="SimSun"/>
        </w:rPr>
        <w:t>[</w:t>
      </w:r>
      <w:r w:rsidRPr="00B9241F">
        <w:rPr>
          <w:rFonts w:eastAsia="SimSun"/>
          <w:b/>
          <w:i/>
        </w:rPr>
        <w:t>repeat for each additional Obligor granting a Power of Attorney</w:t>
      </w:r>
      <w:r>
        <w:rPr>
          <w:rFonts w:eastAsia="SimSun"/>
        </w:rPr>
        <w:t>];]</w:t>
      </w:r>
    </w:p>
    <w:p w14:paraId="6E335BA5" w14:textId="1483EBD4" w:rsidR="006D3CD6" w:rsidRDefault="00777A6F" w:rsidP="006D3CD6">
      <w:pPr>
        <w:pStyle w:val="Levela"/>
        <w:widowControl/>
        <w:tabs>
          <w:tab w:val="clear" w:pos="2564"/>
          <w:tab w:val="num" w:pos="1440"/>
        </w:tabs>
        <w:ind w:left="1440"/>
        <w:rPr>
          <w:rFonts w:eastAsia="SimSun"/>
        </w:rPr>
      </w:pPr>
      <w:bookmarkStart w:id="30" w:name="_DV_M18"/>
      <w:bookmarkEnd w:id="30"/>
      <w:r>
        <w:rPr>
          <w:rFonts w:eastAsia="SimSun"/>
          <w:b/>
          <w:bCs/>
        </w:rPr>
        <w:t>Relevant Jurisdictions</w:t>
      </w:r>
      <w:r>
        <w:rPr>
          <w:rFonts w:eastAsia="SimSun"/>
        </w:rPr>
        <w:t xml:space="preserve"> means [</w:t>
      </w:r>
      <w:r w:rsidRPr="00B9241F">
        <w:rPr>
          <w:rFonts w:eastAsia="SimSun"/>
          <w:b/>
          <w:bCs/>
          <w:i/>
          <w:iCs/>
        </w:rPr>
        <w:t>list states / territories</w:t>
      </w:r>
      <w:r>
        <w:rPr>
          <w:rFonts w:eastAsia="SimSun"/>
        </w:rPr>
        <w:t xml:space="preserve">] and the federal jurisdiction of the Commonwealth of Australia; </w:t>
      </w:r>
    </w:p>
    <w:p w14:paraId="434FACF9" w14:textId="77777777" w:rsidR="006D3CD6" w:rsidRPr="006E01D9" w:rsidRDefault="00777A6F" w:rsidP="006D3CD6">
      <w:pPr>
        <w:pStyle w:val="Levela"/>
        <w:widowControl/>
        <w:tabs>
          <w:tab w:val="clear" w:pos="2564"/>
          <w:tab w:val="num" w:pos="1440"/>
        </w:tabs>
        <w:ind w:left="1440"/>
        <w:rPr>
          <w:rFonts w:eastAsia="SimSun"/>
          <w:bCs/>
        </w:rPr>
      </w:pPr>
      <w:r w:rsidRPr="00AC45C0">
        <w:rPr>
          <w:rFonts w:eastAsia="SimSun"/>
          <w:bCs/>
        </w:rPr>
        <w:t>[</w:t>
      </w:r>
      <w:r w:rsidRPr="004D1B7B">
        <w:rPr>
          <w:rFonts w:eastAsia="SimSun"/>
          <w:b/>
          <w:bCs/>
        </w:rPr>
        <w:t>Trustee Obligor</w:t>
      </w:r>
      <w:r w:rsidRPr="00087400">
        <w:rPr>
          <w:rFonts w:eastAsia="SimSun"/>
          <w:bCs/>
        </w:rPr>
        <w:t xml:space="preserve"> means </w:t>
      </w:r>
      <w:r>
        <w:rPr>
          <w:rFonts w:eastAsia="SimSun"/>
        </w:rPr>
        <w:t>[</w:t>
      </w:r>
      <w:r w:rsidRPr="00B9241F">
        <w:rPr>
          <w:rFonts w:eastAsia="SimSun"/>
          <w:b/>
          <w:i/>
        </w:rPr>
        <w:t>insert name and ACN/ABN of Trustee Obligor</w:t>
      </w:r>
      <w:r>
        <w:rPr>
          <w:rFonts w:eastAsia="SimSun"/>
        </w:rPr>
        <w:t>] as trustee of [</w:t>
      </w:r>
      <w:r w:rsidRPr="00B9241F">
        <w:rPr>
          <w:rFonts w:eastAsia="SimSun"/>
          <w:b/>
          <w:i/>
        </w:rPr>
        <w:t>insert name and ABN of trust, if any</w:t>
      </w:r>
      <w:r>
        <w:rPr>
          <w:rFonts w:eastAsia="SimSun"/>
        </w:rPr>
        <w:t>] (</w:t>
      </w:r>
      <w:r w:rsidRPr="00EB1139">
        <w:rPr>
          <w:rFonts w:eastAsia="SimSun"/>
          <w:b/>
        </w:rPr>
        <w:t>Trust</w:t>
      </w:r>
      <w:r>
        <w:rPr>
          <w:rFonts w:eastAsia="SimSun"/>
        </w:rPr>
        <w:t>) established under the [</w:t>
      </w:r>
      <w:r w:rsidRPr="00B9241F">
        <w:rPr>
          <w:rFonts w:eastAsia="SimSun"/>
          <w:b/>
          <w:i/>
        </w:rPr>
        <w:t>insert title of trust deed</w:t>
      </w:r>
      <w:r>
        <w:rPr>
          <w:rFonts w:eastAsia="SimSun"/>
        </w:rPr>
        <w:t>/ constitution] dated [</w:t>
      </w:r>
      <w:r w:rsidRPr="004D1B7B">
        <w:rPr>
          <w:rFonts w:eastAsia="SimSun"/>
        </w:rPr>
        <w:t>●</w:t>
      </w:r>
      <w:r>
        <w:rPr>
          <w:rFonts w:eastAsia="SimSun"/>
        </w:rPr>
        <w:t xml:space="preserve">] </w:t>
      </w:r>
      <w:r w:rsidRPr="00DA50A6">
        <w:t>between</w:t>
      </w:r>
      <w:r>
        <w:t xml:space="preserve"> [</w:t>
      </w:r>
      <w:r w:rsidRPr="00B9241F">
        <w:rPr>
          <w:b/>
          <w:i/>
        </w:rPr>
        <w:t>insert parties</w:t>
      </w:r>
      <w:r>
        <w:t>]</w:t>
      </w:r>
      <w:r>
        <w:rPr>
          <w:rFonts w:eastAsia="SimSun"/>
        </w:rPr>
        <w:t xml:space="preserve"> [as amended by [</w:t>
      </w:r>
      <w:r>
        <w:rPr>
          <w:rFonts w:eastAsia="SimSun"/>
          <w:i/>
        </w:rPr>
        <w:t>insert details</w:t>
      </w:r>
      <w:r>
        <w:rPr>
          <w:rFonts w:eastAsia="SimSun"/>
        </w:rPr>
        <w:t>]] (</w:t>
      </w:r>
      <w:r w:rsidRPr="00EB1139">
        <w:rPr>
          <w:rFonts w:eastAsia="SimSun"/>
          <w:b/>
        </w:rPr>
        <w:t>Trust Deed</w:t>
      </w:r>
      <w:r>
        <w:rPr>
          <w:rFonts w:eastAsia="SimSun"/>
        </w:rPr>
        <w:t>);]</w:t>
      </w:r>
    </w:p>
    <w:p w14:paraId="62AB92D0" w14:textId="77777777" w:rsidR="006D3CD6" w:rsidRPr="006E01D9" w:rsidRDefault="00777A6F" w:rsidP="006D3CD6">
      <w:pPr>
        <w:pStyle w:val="Levela"/>
        <w:numPr>
          <w:ilvl w:val="0"/>
          <w:numId w:val="0"/>
        </w:numPr>
        <w:ind w:left="1440"/>
        <w:rPr>
          <w:rFonts w:eastAsia="SimSun"/>
          <w:bCs/>
        </w:rPr>
      </w:pPr>
      <w:r>
        <w:rPr>
          <w:rFonts w:eastAsia="SimSun"/>
          <w:bCs/>
        </w:rPr>
        <w:t>OR</w:t>
      </w:r>
    </w:p>
    <w:p w14:paraId="6B2C24E7" w14:textId="77777777" w:rsidR="006D3CD6" w:rsidRDefault="00777A6F" w:rsidP="006D3CD6">
      <w:pPr>
        <w:pStyle w:val="Levela"/>
        <w:numPr>
          <w:ilvl w:val="0"/>
          <w:numId w:val="0"/>
        </w:numPr>
        <w:ind w:left="1440"/>
        <w:rPr>
          <w:rFonts w:eastAsia="SimSun"/>
          <w:bCs/>
        </w:rPr>
      </w:pPr>
      <w:r>
        <w:rPr>
          <w:rFonts w:eastAsia="SimSun"/>
        </w:rPr>
        <w:t>[</w:t>
      </w:r>
      <w:r>
        <w:rPr>
          <w:rFonts w:eastAsia="SimSun"/>
          <w:b/>
          <w:bCs/>
        </w:rPr>
        <w:t>Trustee Obligor</w:t>
      </w:r>
      <w:r w:rsidRPr="00087400">
        <w:rPr>
          <w:rFonts w:eastAsia="SimSun"/>
          <w:b/>
          <w:bCs/>
        </w:rPr>
        <w:t xml:space="preserve"> </w:t>
      </w:r>
      <w:r>
        <w:rPr>
          <w:rFonts w:eastAsia="SimSun"/>
          <w:bCs/>
        </w:rPr>
        <w:t>means</w:t>
      </w:r>
      <w:r w:rsidRPr="00DA50A6">
        <w:rPr>
          <w:rFonts w:eastAsia="SimSun"/>
          <w:bCs/>
        </w:rPr>
        <w:t>:</w:t>
      </w:r>
    </w:p>
    <w:p w14:paraId="1790AEFA" w14:textId="77777777" w:rsidR="006D3CD6" w:rsidRDefault="00777A6F" w:rsidP="006D3CD6">
      <w:pPr>
        <w:pStyle w:val="Levelafo"/>
        <w:numPr>
          <w:ilvl w:val="3"/>
          <w:numId w:val="12"/>
        </w:numPr>
        <w:rPr>
          <w:rFonts w:eastAsia="SimSun"/>
        </w:rPr>
      </w:pPr>
      <w:r>
        <w:rPr>
          <w:rFonts w:eastAsia="SimSun"/>
        </w:rPr>
        <w:t>[</w:t>
      </w:r>
      <w:r w:rsidRPr="00B9241F">
        <w:rPr>
          <w:rFonts w:eastAsia="SimSun"/>
          <w:b/>
          <w:i/>
        </w:rPr>
        <w:t>insert name and ABN of Trustee Obligor</w:t>
      </w:r>
      <w:r>
        <w:rPr>
          <w:rFonts w:eastAsia="SimSun"/>
        </w:rPr>
        <w:t>] as trustee of [</w:t>
      </w:r>
      <w:r w:rsidRPr="00B9241F">
        <w:rPr>
          <w:rFonts w:eastAsia="SimSun"/>
          <w:b/>
          <w:i/>
        </w:rPr>
        <w:t>insert name and ABN of trust</w:t>
      </w:r>
      <w:r>
        <w:rPr>
          <w:rFonts w:eastAsia="SimSun"/>
        </w:rPr>
        <w:t xml:space="preserve">] established under </w:t>
      </w:r>
      <w:bookmarkStart w:id="31" w:name="OLE_LINK1"/>
      <w:bookmarkStart w:id="32" w:name="OLE_LINK2"/>
      <w:bookmarkStart w:id="33" w:name="OLE_LINK3"/>
      <w:r>
        <w:rPr>
          <w:rFonts w:eastAsia="SimSun"/>
        </w:rPr>
        <w:t>the [</w:t>
      </w:r>
      <w:r w:rsidRPr="00B9241F">
        <w:rPr>
          <w:rFonts w:eastAsia="SimSun"/>
          <w:b/>
          <w:i/>
        </w:rPr>
        <w:t>insert title of trust deed</w:t>
      </w:r>
      <w:r>
        <w:rPr>
          <w:rFonts w:eastAsia="SimSun"/>
          <w:b/>
          <w:i/>
        </w:rPr>
        <w:t xml:space="preserve"> / constitution</w:t>
      </w:r>
      <w:r>
        <w:rPr>
          <w:rFonts w:eastAsia="SimSun"/>
        </w:rPr>
        <w:t>] dated [</w:t>
      </w:r>
      <w:r w:rsidRPr="004D1B7B">
        <w:rPr>
          <w:rFonts w:eastAsia="SimSun"/>
        </w:rPr>
        <w:t>●</w:t>
      </w:r>
      <w:r>
        <w:rPr>
          <w:rFonts w:eastAsia="SimSun"/>
        </w:rPr>
        <w:t xml:space="preserve">] </w:t>
      </w:r>
      <w:r w:rsidRPr="00DA50A6">
        <w:t>between</w:t>
      </w:r>
      <w:r>
        <w:t xml:space="preserve"> [</w:t>
      </w:r>
      <w:r w:rsidRPr="00B9241F">
        <w:rPr>
          <w:b/>
          <w:i/>
        </w:rPr>
        <w:t xml:space="preserve">insert </w:t>
      </w:r>
      <w:proofErr w:type="gramStart"/>
      <w:r w:rsidRPr="00B9241F">
        <w:rPr>
          <w:b/>
          <w:i/>
        </w:rPr>
        <w:t>parties</w:t>
      </w:r>
      <w:r>
        <w:t>]</w:t>
      </w:r>
      <w:bookmarkEnd w:id="31"/>
      <w:bookmarkEnd w:id="32"/>
      <w:bookmarkEnd w:id="33"/>
      <w:r>
        <w:rPr>
          <w:rFonts w:eastAsia="SimSun"/>
        </w:rPr>
        <w:t>[</w:t>
      </w:r>
      <w:proofErr w:type="gramEnd"/>
      <w:r>
        <w:rPr>
          <w:rFonts w:eastAsia="SimSun"/>
        </w:rPr>
        <w:t>as amended by [</w:t>
      </w:r>
      <w:r>
        <w:rPr>
          <w:rFonts w:eastAsia="SimSun"/>
          <w:i/>
        </w:rPr>
        <w:t>insert details</w:t>
      </w:r>
      <w:r>
        <w:rPr>
          <w:rFonts w:eastAsia="SimSun"/>
        </w:rPr>
        <w:t>]</w:t>
      </w:r>
      <w:r w:rsidRPr="00021A4C">
        <w:rPr>
          <w:rFonts w:eastAsia="SimSun"/>
        </w:rPr>
        <w:t>;</w:t>
      </w:r>
      <w:r>
        <w:rPr>
          <w:rFonts w:eastAsia="SimSun"/>
        </w:rPr>
        <w:t xml:space="preserve"> [or]</w:t>
      </w:r>
    </w:p>
    <w:p w14:paraId="24956671" w14:textId="77777777" w:rsidR="006D3CD6" w:rsidRDefault="00777A6F" w:rsidP="006D3CD6">
      <w:pPr>
        <w:pStyle w:val="Levelafo"/>
        <w:numPr>
          <w:ilvl w:val="3"/>
          <w:numId w:val="12"/>
        </w:numPr>
        <w:rPr>
          <w:rFonts w:eastAsia="SimSun"/>
        </w:rPr>
      </w:pPr>
      <w:r>
        <w:rPr>
          <w:rFonts w:eastAsia="SimSun"/>
        </w:rPr>
        <w:t>[</w:t>
      </w:r>
      <w:r w:rsidRPr="00B9241F">
        <w:rPr>
          <w:rFonts w:eastAsia="SimSun"/>
          <w:b/>
          <w:i/>
        </w:rPr>
        <w:t>repeat for each additional Trustee Obligor</w:t>
      </w:r>
      <w:r>
        <w:rPr>
          <w:rFonts w:eastAsia="SimSun"/>
        </w:rPr>
        <w:t>];</w:t>
      </w:r>
    </w:p>
    <w:p w14:paraId="1287CAAE" w14:textId="621C5721" w:rsidR="006D3CD6" w:rsidRPr="005C5854" w:rsidRDefault="00777A6F" w:rsidP="006D3CD6">
      <w:pPr>
        <w:pStyle w:val="Levelafo"/>
        <w:rPr>
          <w:rFonts w:eastAsia="SimSun"/>
        </w:rPr>
      </w:pPr>
      <w:r>
        <w:rPr>
          <w:rFonts w:eastAsia="SimSun"/>
        </w:rPr>
        <w:t xml:space="preserve">each such trust being a </w:t>
      </w:r>
      <w:r>
        <w:rPr>
          <w:rFonts w:eastAsia="SimSun"/>
          <w:b/>
        </w:rPr>
        <w:t>Trust</w:t>
      </w:r>
      <w:r w:rsidRPr="00EB1139">
        <w:rPr>
          <w:rFonts w:eastAsia="SimSun"/>
        </w:rPr>
        <w:t>,</w:t>
      </w:r>
      <w:r w:rsidRPr="004D1B7B">
        <w:rPr>
          <w:rFonts w:eastAsia="SimSun"/>
        </w:rPr>
        <w:t xml:space="preserve"> and </w:t>
      </w:r>
      <w:r>
        <w:rPr>
          <w:rFonts w:eastAsia="SimSun"/>
        </w:rPr>
        <w:t>such</w:t>
      </w:r>
      <w:r w:rsidRPr="004D1B7B">
        <w:rPr>
          <w:rFonts w:eastAsia="SimSun"/>
        </w:rPr>
        <w:t xml:space="preserve"> instrument </w:t>
      </w:r>
      <w:r>
        <w:rPr>
          <w:rFonts w:eastAsia="SimSun"/>
        </w:rPr>
        <w:t>[(as so amended)]</w:t>
      </w:r>
      <w:r w:rsidRPr="004D1B7B">
        <w:rPr>
          <w:rFonts w:eastAsia="SimSun"/>
        </w:rPr>
        <w:t xml:space="preserve"> being</w:t>
      </w:r>
      <w:r w:rsidRPr="005C5854">
        <w:rPr>
          <w:rFonts w:eastAsia="SimSun"/>
        </w:rPr>
        <w:t xml:space="preserve"> </w:t>
      </w:r>
      <w:r>
        <w:rPr>
          <w:rFonts w:eastAsia="SimSun"/>
        </w:rPr>
        <w:t xml:space="preserve">a </w:t>
      </w:r>
      <w:r>
        <w:rPr>
          <w:rFonts w:eastAsia="SimSun"/>
          <w:b/>
        </w:rPr>
        <w:t>Trust Deed</w:t>
      </w:r>
      <w:r>
        <w:rPr>
          <w:rFonts w:eastAsia="SimSun"/>
        </w:rPr>
        <w:t xml:space="preserve">]; </w:t>
      </w:r>
    </w:p>
    <w:p w14:paraId="50E9E977" w14:textId="2B8F2CC8" w:rsidR="009F4281" w:rsidRPr="009F4281" w:rsidRDefault="009F4281" w:rsidP="006D3CD6">
      <w:pPr>
        <w:pStyle w:val="Levela"/>
        <w:widowControl/>
        <w:tabs>
          <w:tab w:val="clear" w:pos="2564"/>
          <w:tab w:val="num" w:pos="1440"/>
        </w:tabs>
        <w:ind w:left="1440"/>
        <w:rPr>
          <w:rFonts w:eastAsia="SimSun"/>
          <w:b/>
          <w:bCs/>
        </w:rPr>
      </w:pPr>
      <w:bookmarkStart w:id="34" w:name="_DV_M19"/>
      <w:bookmarkStart w:id="35" w:name="_Hlk219108458"/>
      <w:bookmarkEnd w:id="34"/>
      <w:r w:rsidRPr="009F4281">
        <w:rPr>
          <w:rFonts w:eastAsia="SimSun"/>
          <w:b/>
          <w:bCs/>
        </w:rPr>
        <w:t>UCT</w:t>
      </w:r>
      <w:r>
        <w:rPr>
          <w:rFonts w:eastAsia="SimSun"/>
        </w:rPr>
        <w:t xml:space="preserve"> means unfair contract terms</w:t>
      </w:r>
      <w:r w:rsidR="00586AAC">
        <w:rPr>
          <w:rFonts w:eastAsia="SimSun"/>
        </w:rPr>
        <w:t xml:space="preserve">; </w:t>
      </w:r>
      <w:r w:rsidR="00586AAC" w:rsidRPr="005C5854">
        <w:rPr>
          <w:rFonts w:eastAsia="SimSun"/>
        </w:rPr>
        <w:t>[and]</w:t>
      </w:r>
    </w:p>
    <w:p w14:paraId="7E772F94" w14:textId="011D0232" w:rsidR="006D3CD6" w:rsidRDefault="00777A6F" w:rsidP="006D3CD6">
      <w:pPr>
        <w:pStyle w:val="Levela"/>
        <w:widowControl/>
        <w:tabs>
          <w:tab w:val="clear" w:pos="2564"/>
          <w:tab w:val="num" w:pos="1440"/>
        </w:tabs>
        <w:ind w:left="1440"/>
        <w:rPr>
          <w:rFonts w:eastAsia="SimSun"/>
        </w:rPr>
      </w:pPr>
      <w:bookmarkStart w:id="36" w:name="_Hlk219108857"/>
      <w:bookmarkEnd w:id="35"/>
      <w:r>
        <w:rPr>
          <w:rFonts w:eastAsia="SimSun"/>
          <w:b/>
        </w:rPr>
        <w:t>[Verification</w:t>
      </w:r>
      <w:r w:rsidRPr="00150BB3">
        <w:rPr>
          <w:rFonts w:eastAsia="SimSun"/>
          <w:b/>
        </w:rPr>
        <w:t xml:space="preserve"> Certificate</w:t>
      </w:r>
      <w:r>
        <w:rPr>
          <w:rFonts w:eastAsia="SimSun"/>
          <w:b/>
        </w:rPr>
        <w:t>]</w:t>
      </w:r>
      <w:r>
        <w:rPr>
          <w:rFonts w:eastAsia="SimSun"/>
        </w:rPr>
        <w:t xml:space="preserve"> means a [certified] copy of the [[verification] certificate provided under the Agreement] [</w:t>
      </w:r>
      <w:r w:rsidRPr="00B9241F">
        <w:rPr>
          <w:rFonts w:eastAsia="SimSun"/>
          <w:b/>
          <w:i/>
        </w:rPr>
        <w:t>refer (using the appropriate defined term from the Agreement if applicable) to the verification certificate or other relevant "due diligence" documents provided under the Agreement</w:t>
      </w:r>
      <w:r>
        <w:rPr>
          <w:rFonts w:eastAsia="SimSun"/>
        </w:rPr>
        <w:t>] of [the Trustee Obligor/</w:t>
      </w:r>
      <w:r w:rsidRPr="00021A4C">
        <w:rPr>
          <w:rFonts w:eastAsia="SimSun"/>
        </w:rPr>
        <w:t>[</w:t>
      </w:r>
      <w:r>
        <w:rPr>
          <w:rFonts w:ascii="Verdana" w:hAnsi="Verdana"/>
        </w:rPr>
        <w:t>●</w:t>
      </w:r>
      <w:r w:rsidRPr="00021A4C">
        <w:rPr>
          <w:rFonts w:eastAsia="SimSun"/>
        </w:rPr>
        <w:t>]</w:t>
      </w:r>
      <w:r>
        <w:rPr>
          <w:rFonts w:eastAsia="SimSun"/>
          <w:i/>
        </w:rPr>
        <w:t>[</w:t>
      </w:r>
      <w:r w:rsidRPr="00B9241F">
        <w:rPr>
          <w:rFonts w:eastAsia="SimSun"/>
          <w:b/>
          <w:i/>
        </w:rPr>
        <w:t>Insert name of specific Trustee Obligor if there is more than one</w:t>
      </w:r>
      <w:r>
        <w:rPr>
          <w:rFonts w:eastAsia="SimSun"/>
          <w:i/>
        </w:rPr>
        <w:t>]</w:t>
      </w:r>
      <w:r>
        <w:rPr>
          <w:rFonts w:eastAsia="SimSun"/>
        </w:rPr>
        <w:t>]</w:t>
      </w:r>
      <w:bookmarkStart w:id="37" w:name="_Ref426019359"/>
      <w:r>
        <w:rPr>
          <w:rStyle w:val="EndnoteReference"/>
          <w:rFonts w:eastAsia="SimSun"/>
        </w:rPr>
        <w:endnoteReference w:id="3"/>
      </w:r>
      <w:bookmarkEnd w:id="37"/>
      <w:r>
        <w:rPr>
          <w:rFonts w:eastAsia="SimSun"/>
        </w:rPr>
        <w:t xml:space="preserve"> and the [following] attachments to it[</w:t>
      </w:r>
      <w:r>
        <w:rPr>
          <w:rFonts w:eastAsia="SimSun"/>
          <w:i/>
        </w:rPr>
        <w:t>,</w:t>
      </w:r>
      <w:r>
        <w:rPr>
          <w:rFonts w:eastAsia="SimSun"/>
        </w:rPr>
        <w:t xml:space="preserve"> </w:t>
      </w:r>
      <w:r w:rsidRPr="00B9241F">
        <w:rPr>
          <w:rFonts w:eastAsia="SimSun"/>
          <w:b/>
          <w:i/>
        </w:rPr>
        <w:t xml:space="preserve">list any attachments, if not apparent from the Agreement, </w:t>
      </w:r>
      <w:proofErr w:type="spellStart"/>
      <w:r w:rsidRPr="00B9241F">
        <w:rPr>
          <w:rFonts w:eastAsia="SimSun"/>
          <w:b/>
          <w:i/>
        </w:rPr>
        <w:t>eg</w:t>
      </w:r>
      <w:proofErr w:type="spellEnd"/>
      <w:r w:rsidRPr="00B9241F">
        <w:rPr>
          <w:rFonts w:eastAsia="SimSun"/>
          <w:b/>
          <w:i/>
        </w:rPr>
        <w:t xml:space="preserve"> minutes, evidencing that the procedures have been completed</w:t>
      </w:r>
      <w:r>
        <w:rPr>
          <w:rFonts w:eastAsia="SimSun"/>
        </w:rPr>
        <w:t>];] [and]</w:t>
      </w:r>
    </w:p>
    <w:p w14:paraId="3D692DB6" w14:textId="3A44AB55" w:rsidR="006D3CD6" w:rsidRDefault="00777A6F" w:rsidP="006D3CD6">
      <w:pPr>
        <w:pStyle w:val="Levela"/>
        <w:widowControl/>
        <w:tabs>
          <w:tab w:val="clear" w:pos="2564"/>
          <w:tab w:val="num" w:pos="1440"/>
        </w:tabs>
        <w:ind w:left="1440"/>
        <w:rPr>
          <w:rFonts w:eastAsia="SimSun"/>
        </w:rPr>
      </w:pPr>
      <w:r>
        <w:rPr>
          <w:rFonts w:eastAsia="SimSun"/>
        </w:rPr>
        <w:t>[</w:t>
      </w:r>
      <w:r w:rsidRPr="00B9241F">
        <w:rPr>
          <w:rFonts w:eastAsia="SimSun"/>
          <w:b/>
          <w:bCs/>
          <w:i/>
          <w:iCs/>
        </w:rPr>
        <w:t>insert other definitions if required</w:t>
      </w:r>
      <w:r>
        <w:rPr>
          <w:rFonts w:eastAsia="SimSun"/>
        </w:rPr>
        <w:t>].</w:t>
      </w:r>
    </w:p>
    <w:p w14:paraId="070B7D28" w14:textId="77777777" w:rsidR="006D3CD6" w:rsidRPr="00721DBE" w:rsidRDefault="00777A6F" w:rsidP="006D3CD6">
      <w:pPr>
        <w:keepNext/>
        <w:widowControl/>
        <w:numPr>
          <w:ilvl w:val="0"/>
          <w:numId w:val="12"/>
        </w:numPr>
        <w:outlineLvl w:val="0"/>
        <w:rPr>
          <w:rFonts w:eastAsia="SimSun"/>
          <w:b/>
          <w:bCs/>
        </w:rPr>
      </w:pPr>
      <w:bookmarkStart w:id="38" w:name="_DV_M20"/>
      <w:bookmarkStart w:id="39" w:name="_Ref419732542"/>
      <w:bookmarkEnd w:id="36"/>
      <w:bookmarkEnd w:id="38"/>
      <w:r w:rsidRPr="00721DBE">
        <w:rPr>
          <w:rFonts w:eastAsia="SimSun"/>
          <w:b/>
          <w:bCs/>
        </w:rPr>
        <w:lastRenderedPageBreak/>
        <w:t>DOCUMENTS</w:t>
      </w:r>
      <w:bookmarkEnd w:id="39"/>
    </w:p>
    <w:p w14:paraId="5ECD196F" w14:textId="77777777" w:rsidR="006D3CD6" w:rsidRPr="00721DBE" w:rsidRDefault="00777A6F" w:rsidP="006D3CD6">
      <w:pPr>
        <w:keepNext/>
        <w:widowControl/>
        <w:ind w:left="720"/>
        <w:rPr>
          <w:rFonts w:eastAsia="SimSun"/>
        </w:rPr>
      </w:pPr>
      <w:bookmarkStart w:id="40" w:name="_DV_M21"/>
      <w:bookmarkEnd w:id="40"/>
      <w:r w:rsidRPr="00721DBE">
        <w:rPr>
          <w:rFonts w:eastAsia="SimSun"/>
        </w:rPr>
        <w:t>We have examined and rely on:</w:t>
      </w:r>
    </w:p>
    <w:p w14:paraId="7D55901C" w14:textId="77777777" w:rsidR="006D3CD6" w:rsidRPr="00721DBE" w:rsidRDefault="00777A6F" w:rsidP="006D3CD6">
      <w:pPr>
        <w:pStyle w:val="Levela"/>
        <w:tabs>
          <w:tab w:val="clear" w:pos="2564"/>
          <w:tab w:val="num" w:pos="1418"/>
        </w:tabs>
        <w:ind w:left="1418" w:hanging="709"/>
        <w:rPr>
          <w:rFonts w:eastAsia="SimSun"/>
        </w:rPr>
      </w:pPr>
      <w:bookmarkStart w:id="41" w:name="_DV_M22"/>
      <w:bookmarkEnd w:id="41"/>
      <w:r>
        <w:t>[an original / a pdf]</w:t>
      </w:r>
      <w:r w:rsidRPr="00721DBE">
        <w:rPr>
          <w:rFonts w:eastAsia="SimSun"/>
        </w:rPr>
        <w:t xml:space="preserve"> copy of the Agreement; </w:t>
      </w:r>
    </w:p>
    <w:p w14:paraId="56868BBD" w14:textId="7554E763" w:rsidR="006D3CD6" w:rsidRPr="00721DBE" w:rsidRDefault="00777A6F" w:rsidP="006D3CD6">
      <w:pPr>
        <w:pStyle w:val="Levela"/>
        <w:tabs>
          <w:tab w:val="clear" w:pos="2564"/>
          <w:tab w:val="num" w:pos="1418"/>
        </w:tabs>
        <w:ind w:left="1418" w:hanging="709"/>
        <w:rPr>
          <w:rFonts w:eastAsia="SimSun"/>
        </w:rPr>
      </w:pPr>
      <w:bookmarkStart w:id="42" w:name="_DV_M23"/>
      <w:bookmarkEnd w:id="42"/>
      <w:r>
        <w:t xml:space="preserve">[[an original / a pdf] </w:t>
      </w:r>
      <w:r w:rsidRPr="00721DBE">
        <w:rPr>
          <w:rFonts w:eastAsia="SimSun"/>
        </w:rPr>
        <w:t>copy of [the / each] Power of Attorney;]</w:t>
      </w:r>
    </w:p>
    <w:p w14:paraId="02ABBE63" w14:textId="77777777" w:rsidR="006D3CD6" w:rsidRPr="00721DBE" w:rsidRDefault="00777A6F" w:rsidP="006D3CD6">
      <w:pPr>
        <w:pStyle w:val="Levela"/>
        <w:tabs>
          <w:tab w:val="clear" w:pos="2564"/>
          <w:tab w:val="num" w:pos="1418"/>
        </w:tabs>
        <w:ind w:left="1418" w:hanging="709"/>
        <w:rPr>
          <w:rFonts w:eastAsia="SimSun"/>
        </w:rPr>
      </w:pPr>
      <w:bookmarkStart w:id="43" w:name="_DV_M24"/>
      <w:bookmarkEnd w:id="43"/>
      <w:r>
        <w:t xml:space="preserve">[[an original / a pdf] </w:t>
      </w:r>
      <w:r w:rsidRPr="00721DBE">
        <w:rPr>
          <w:rFonts w:eastAsia="SimSun"/>
        </w:rPr>
        <w:t xml:space="preserve">[certified] copy of </w:t>
      </w:r>
      <w:r>
        <w:rPr>
          <w:rFonts w:eastAsia="SimSun"/>
        </w:rPr>
        <w:t>[</w:t>
      </w:r>
      <w:r w:rsidRPr="00721DBE">
        <w:rPr>
          <w:rFonts w:eastAsia="SimSun"/>
        </w:rPr>
        <w:t>each of the following:</w:t>
      </w:r>
      <w:r>
        <w:rPr>
          <w:rFonts w:eastAsia="SimSun"/>
        </w:rPr>
        <w:t>]</w:t>
      </w:r>
    </w:p>
    <w:p w14:paraId="11B37E96" w14:textId="77777777" w:rsidR="006D3CD6" w:rsidRPr="00721DBE" w:rsidRDefault="00777A6F" w:rsidP="006D3CD6">
      <w:pPr>
        <w:numPr>
          <w:ilvl w:val="3"/>
          <w:numId w:val="12"/>
        </w:numPr>
        <w:outlineLvl w:val="2"/>
        <w:rPr>
          <w:rFonts w:eastAsia="SimSun"/>
        </w:rPr>
      </w:pPr>
      <w:r w:rsidRPr="00721DBE">
        <w:rPr>
          <w:rFonts w:eastAsia="SimSun"/>
        </w:rPr>
        <w:t xml:space="preserve">[the / each] Obligor’s constitution]; [and] </w:t>
      </w:r>
    </w:p>
    <w:p w14:paraId="2E0BF0D3" w14:textId="553DB69A" w:rsidR="006D3CD6" w:rsidRPr="00887C29" w:rsidRDefault="00777A6F" w:rsidP="006D3CD6">
      <w:pPr>
        <w:numPr>
          <w:ilvl w:val="3"/>
          <w:numId w:val="12"/>
        </w:numPr>
        <w:outlineLvl w:val="2"/>
        <w:rPr>
          <w:rFonts w:eastAsia="SimSun"/>
        </w:rPr>
      </w:pPr>
      <w:r w:rsidRPr="00887C29">
        <w:rPr>
          <w:rFonts w:eastAsia="SimSun"/>
        </w:rPr>
        <w:t>[[the / each] Trust Deed;]</w:t>
      </w:r>
      <w:r w:rsidR="00C87665">
        <w:rPr>
          <w:rStyle w:val="EndnoteReference"/>
        </w:rPr>
        <w:endnoteReference w:id="4"/>
      </w:r>
    </w:p>
    <w:p w14:paraId="1B229F34" w14:textId="77777777" w:rsidR="006D3CD6" w:rsidRPr="00721DBE" w:rsidRDefault="00777A6F" w:rsidP="006D3CD6">
      <w:pPr>
        <w:pStyle w:val="Levela"/>
        <w:tabs>
          <w:tab w:val="clear" w:pos="2564"/>
          <w:tab w:val="num" w:pos="1418"/>
        </w:tabs>
        <w:ind w:left="1418" w:hanging="709"/>
        <w:rPr>
          <w:rFonts w:eastAsia="SimSun"/>
        </w:rPr>
      </w:pPr>
      <w:bookmarkStart w:id="44" w:name="_DV_M26"/>
      <w:bookmarkEnd w:id="44"/>
      <w:r>
        <w:rPr>
          <w:rFonts w:eastAsia="SimSun"/>
        </w:rPr>
        <w:t>[</w:t>
      </w:r>
      <w:r>
        <w:t xml:space="preserve">[an original / a pdf] </w:t>
      </w:r>
      <w:r>
        <w:rPr>
          <w:rFonts w:eastAsia="SimSun"/>
        </w:rPr>
        <w:t>copy of [the / each] Verification C</w:t>
      </w:r>
      <w:r w:rsidRPr="00721DBE">
        <w:rPr>
          <w:rFonts w:eastAsia="SimSun"/>
        </w:rPr>
        <w:t>ertificate</w:t>
      </w:r>
      <w:r>
        <w:rPr>
          <w:rFonts w:eastAsia="SimSun"/>
        </w:rPr>
        <w:t>]</w:t>
      </w:r>
      <w:r w:rsidRPr="00721DBE">
        <w:rPr>
          <w:rFonts w:eastAsia="SimSun"/>
        </w:rPr>
        <w:t>; [and]</w:t>
      </w:r>
    </w:p>
    <w:p w14:paraId="1A424B7C" w14:textId="77008F2D" w:rsidR="00A41260" w:rsidRPr="005101B3" w:rsidRDefault="00777A6F" w:rsidP="00A41260">
      <w:pPr>
        <w:pStyle w:val="Levela"/>
        <w:tabs>
          <w:tab w:val="clear" w:pos="2564"/>
          <w:tab w:val="num" w:pos="1418"/>
        </w:tabs>
        <w:ind w:left="1418" w:hanging="709"/>
      </w:pPr>
      <w:bookmarkStart w:id="45" w:name="_DV_M25"/>
      <w:bookmarkStart w:id="46" w:name="_Hlk219108960"/>
      <w:bookmarkStart w:id="47" w:name="_Ref419732529"/>
      <w:bookmarkEnd w:id="45"/>
      <w:r w:rsidRPr="005101B3">
        <w:t>[</w:t>
      </w:r>
      <w:r w:rsidRPr="005101B3">
        <w:rPr>
          <w:b/>
          <w:bCs/>
          <w:i/>
          <w:iCs/>
        </w:rPr>
        <w:t xml:space="preserve">insert if </w:t>
      </w:r>
      <w:r w:rsidRPr="005101B3">
        <w:rPr>
          <w:rFonts w:eastAsia="SimSun"/>
          <w:b/>
          <w:bCs/>
          <w:i/>
          <w:iCs/>
        </w:rPr>
        <w:t>required</w:t>
      </w:r>
      <w:r w:rsidRPr="005101B3">
        <w:rPr>
          <w:b/>
          <w:bCs/>
          <w:i/>
          <w:iCs/>
        </w:rPr>
        <w:t xml:space="preserve">, </w:t>
      </w:r>
      <w:r w:rsidR="005E12D4" w:rsidRPr="005101B3">
        <w:rPr>
          <w:b/>
          <w:bCs/>
          <w:i/>
          <w:iCs/>
        </w:rPr>
        <w:t xml:space="preserve">confirmations or other supporting documents or correspondence relating </w:t>
      </w:r>
      <w:r w:rsidR="00887C29" w:rsidRPr="005101B3">
        <w:rPr>
          <w:b/>
          <w:bCs/>
          <w:i/>
          <w:iCs/>
        </w:rPr>
        <w:t xml:space="preserve">to </w:t>
      </w:r>
      <w:r w:rsidRPr="005101B3">
        <w:rPr>
          <w:b/>
          <w:bCs/>
          <w:i/>
          <w:iCs/>
        </w:rPr>
        <w:t>signature</w:t>
      </w:r>
      <w:r w:rsidR="005E12D4" w:rsidRPr="005101B3">
        <w:rPr>
          <w:b/>
          <w:bCs/>
          <w:i/>
          <w:iCs/>
        </w:rPr>
        <w:t>s</w:t>
      </w:r>
      <w:r w:rsidRPr="005101B3">
        <w:t>];</w:t>
      </w:r>
      <w:r w:rsidRPr="005101B3">
        <w:rPr>
          <w:rStyle w:val="EndnoteReference"/>
        </w:rPr>
        <w:endnoteReference w:id="5"/>
      </w:r>
      <w:r w:rsidRPr="005101B3">
        <w:t xml:space="preserve"> [and]</w:t>
      </w:r>
    </w:p>
    <w:p w14:paraId="7C56935C" w14:textId="77777777" w:rsidR="006D3CD6" w:rsidRPr="005101B3" w:rsidRDefault="00777A6F" w:rsidP="006D3CD6">
      <w:pPr>
        <w:pStyle w:val="Levela"/>
        <w:tabs>
          <w:tab w:val="clear" w:pos="2564"/>
          <w:tab w:val="num" w:pos="1418"/>
        </w:tabs>
        <w:ind w:left="1418" w:hanging="709"/>
        <w:rPr>
          <w:rFonts w:eastAsia="SimSun"/>
        </w:rPr>
      </w:pPr>
      <w:bookmarkStart w:id="48" w:name="_Ref213764241"/>
      <w:bookmarkEnd w:id="46"/>
      <w:r w:rsidRPr="005101B3">
        <w:rPr>
          <w:rFonts w:eastAsia="SimSun"/>
        </w:rPr>
        <w:t>[</w:t>
      </w:r>
      <w:r w:rsidRPr="005101B3">
        <w:rPr>
          <w:rFonts w:eastAsia="SimSun"/>
          <w:b/>
          <w:i/>
        </w:rPr>
        <w:t>insert</w:t>
      </w:r>
      <w:r w:rsidRPr="005101B3">
        <w:rPr>
          <w:rFonts w:eastAsia="SimSun"/>
        </w:rPr>
        <w:t xml:space="preserve"> </w:t>
      </w:r>
      <w:r w:rsidRPr="005101B3">
        <w:rPr>
          <w:rFonts w:eastAsia="SimSun"/>
          <w:b/>
          <w:i/>
        </w:rPr>
        <w:t xml:space="preserve">others </w:t>
      </w:r>
      <w:r w:rsidRPr="005101B3">
        <w:rPr>
          <w:b/>
          <w:i/>
        </w:rPr>
        <w:t>if</w:t>
      </w:r>
      <w:r w:rsidRPr="005101B3">
        <w:rPr>
          <w:rFonts w:eastAsia="SimSun"/>
          <w:b/>
          <w:i/>
        </w:rPr>
        <w:t xml:space="preserve"> required, </w:t>
      </w:r>
      <w:proofErr w:type="spellStart"/>
      <w:r w:rsidRPr="005101B3">
        <w:rPr>
          <w:rFonts w:eastAsia="SimSun"/>
          <w:b/>
          <w:i/>
        </w:rPr>
        <w:t>eg</w:t>
      </w:r>
      <w:proofErr w:type="spellEnd"/>
      <w:r w:rsidRPr="005101B3">
        <w:rPr>
          <w:rFonts w:eastAsia="SimSun"/>
          <w:b/>
          <w:i/>
        </w:rPr>
        <w:t xml:space="preserve"> authorisations</w:t>
      </w:r>
      <w:r w:rsidRPr="005101B3">
        <w:rPr>
          <w:rFonts w:eastAsia="SimSun"/>
        </w:rPr>
        <w:t>].</w:t>
      </w:r>
      <w:bookmarkStart w:id="49" w:name="_Hlk219109014"/>
      <w:bookmarkEnd w:id="47"/>
      <w:r w:rsidRPr="005101B3">
        <w:rPr>
          <w:rStyle w:val="EndnoteReference"/>
          <w:rFonts w:eastAsia="SimSun"/>
        </w:rPr>
        <w:endnoteReference w:id="6"/>
      </w:r>
      <w:bookmarkEnd w:id="48"/>
      <w:bookmarkEnd w:id="49"/>
    </w:p>
    <w:p w14:paraId="20601CEC" w14:textId="77777777" w:rsidR="006D3CD6" w:rsidRPr="00887C29" w:rsidRDefault="00777A6F">
      <w:pPr>
        <w:pStyle w:val="Level1"/>
        <w:keepNext/>
        <w:widowControl/>
        <w:rPr>
          <w:rFonts w:eastAsia="SimSun"/>
          <w:b/>
          <w:bCs/>
        </w:rPr>
      </w:pPr>
      <w:r w:rsidRPr="00887C29">
        <w:rPr>
          <w:rFonts w:eastAsia="SimSun"/>
          <w:b/>
          <w:bCs/>
        </w:rPr>
        <w:t>SCOPE</w:t>
      </w:r>
    </w:p>
    <w:p w14:paraId="22423DD0" w14:textId="77777777" w:rsidR="006D3CD6" w:rsidRDefault="00777A6F">
      <w:pPr>
        <w:pStyle w:val="Level1fo"/>
        <w:widowControl/>
        <w:rPr>
          <w:rFonts w:eastAsia="SimSun"/>
        </w:rPr>
      </w:pPr>
      <w:bookmarkStart w:id="50" w:name="_DV_M27"/>
      <w:bookmarkEnd w:id="50"/>
      <w:r>
        <w:rPr>
          <w:rFonts w:eastAsia="SimSun"/>
        </w:rPr>
        <w:t>This opinion relates only to the laws of the Relevant Jurisdictions, as interpreted by courts of the Relevant Jurisdictions, at 9.00am ([</w:t>
      </w:r>
      <w:r w:rsidRPr="00982746">
        <w:rPr>
          <w:rFonts w:eastAsia="SimSun"/>
          <w:bCs/>
          <w:i/>
          <w:iCs/>
        </w:rPr>
        <w:t>place</w:t>
      </w:r>
      <w:r>
        <w:rPr>
          <w:rFonts w:eastAsia="SimSun"/>
        </w:rPr>
        <w:t>] time) on the date of this opinion.</w:t>
      </w:r>
      <w:bookmarkStart w:id="51" w:name="_DV_C29"/>
      <w:r>
        <w:rPr>
          <w:rStyle w:val="EndnoteReference"/>
          <w:rFonts w:eastAsia="SimSun"/>
        </w:rPr>
        <w:endnoteReference w:id="7"/>
      </w:r>
      <w:bookmarkEnd w:id="51"/>
    </w:p>
    <w:p w14:paraId="624A1141" w14:textId="71662FA9" w:rsidR="006D3CD6" w:rsidRDefault="00777A6F">
      <w:pPr>
        <w:pStyle w:val="Level11fo"/>
        <w:widowControl/>
        <w:rPr>
          <w:rFonts w:eastAsia="SimSun"/>
        </w:rPr>
      </w:pPr>
      <w:bookmarkStart w:id="52" w:name="_DV_M29"/>
      <w:bookmarkEnd w:id="52"/>
      <w:r>
        <w:rPr>
          <w:rFonts w:eastAsia="SimSun"/>
        </w:rPr>
        <w:t xml:space="preserve">Other than the opinion in paragraph </w:t>
      </w:r>
      <w:r>
        <w:rPr>
          <w:rFonts w:eastAsia="SimSun"/>
        </w:rPr>
        <w:fldChar w:fldCharType="begin"/>
      </w:r>
      <w:r>
        <w:rPr>
          <w:rFonts w:eastAsia="SimSun"/>
        </w:rPr>
        <w:instrText xml:space="preserve"> REF _Ref419732213 \w \h </w:instrText>
      </w:r>
      <w:r>
        <w:rPr>
          <w:rFonts w:eastAsia="SimSun"/>
        </w:rPr>
      </w:r>
      <w:r>
        <w:rPr>
          <w:rFonts w:eastAsia="SimSun"/>
        </w:rPr>
        <w:fldChar w:fldCharType="separate"/>
      </w:r>
      <w:r w:rsidR="0003457F">
        <w:rPr>
          <w:rFonts w:eastAsia="SimSun"/>
          <w:cs/>
        </w:rPr>
        <w:t>‎</w:t>
      </w:r>
      <w:r w:rsidR="0003457F">
        <w:rPr>
          <w:rFonts w:eastAsia="SimSun"/>
        </w:rPr>
        <w:t>5(j)</w:t>
      </w:r>
      <w:r>
        <w:rPr>
          <w:rFonts w:eastAsia="SimSun"/>
        </w:rPr>
        <w:fldChar w:fldCharType="end"/>
      </w:r>
      <w:r>
        <w:rPr>
          <w:rFonts w:eastAsia="SimSun"/>
        </w:rPr>
        <w:t>, we express no opinion on the impact of any revenue laws.</w:t>
      </w:r>
    </w:p>
    <w:p w14:paraId="4E84C966" w14:textId="4A470E89" w:rsidR="006D3CD6" w:rsidRDefault="00777A6F">
      <w:pPr>
        <w:pStyle w:val="Level1fo"/>
        <w:widowControl/>
        <w:rPr>
          <w:rFonts w:eastAsia="SimSun"/>
        </w:rPr>
      </w:pPr>
      <w:bookmarkStart w:id="53" w:name="_DV_M30"/>
      <w:bookmarkEnd w:id="53"/>
      <w:r>
        <w:rPr>
          <w:rFonts w:eastAsia="SimSun"/>
        </w:rPr>
        <w:t xml:space="preserve">[This opinion is given on the basis that it will be construed in accordance with the laws of </w:t>
      </w:r>
      <w:r w:rsidRPr="00FB35C1">
        <w:rPr>
          <w:rFonts w:eastAsia="SimSun"/>
          <w:b/>
        </w:rPr>
        <w:t>[</w:t>
      </w:r>
      <w:r w:rsidRPr="00FB35C1">
        <w:rPr>
          <w:rFonts w:eastAsia="SimSun"/>
          <w:b/>
          <w:bCs/>
          <w:i/>
          <w:iCs/>
        </w:rPr>
        <w:t>state / territory</w:t>
      </w:r>
      <w:r w:rsidRPr="00FB35C1">
        <w:rPr>
          <w:rFonts w:eastAsia="SimSun"/>
          <w:b/>
        </w:rPr>
        <w:t>]</w:t>
      </w:r>
      <w:r>
        <w:rPr>
          <w:rFonts w:eastAsia="SimSun"/>
        </w:rPr>
        <w:t xml:space="preserve">. Anyone relying on this opinion agrees that this opinion and all matters (including, without limitation, any liability) arising in any way from it are to be governed by the laws of </w:t>
      </w:r>
      <w:r w:rsidRPr="00FB35C1">
        <w:rPr>
          <w:rFonts w:eastAsia="SimSun"/>
          <w:b/>
        </w:rPr>
        <w:t>[</w:t>
      </w:r>
      <w:r w:rsidRPr="00FB35C1">
        <w:rPr>
          <w:rFonts w:eastAsia="SimSun"/>
          <w:b/>
          <w:bCs/>
          <w:i/>
          <w:iCs/>
        </w:rPr>
        <w:t>state / territory</w:t>
      </w:r>
      <w:r w:rsidRPr="00FB35C1">
        <w:rPr>
          <w:rFonts w:eastAsia="SimSun"/>
          <w:b/>
        </w:rPr>
        <w:t>]</w:t>
      </w:r>
      <w:r>
        <w:rPr>
          <w:rFonts w:eastAsia="SimSun"/>
        </w:rPr>
        <w:t xml:space="preserve"> [and will be subject to the non-exclusive jurisdiction of the courts of </w:t>
      </w:r>
      <w:r w:rsidRPr="00FB35C1">
        <w:rPr>
          <w:rFonts w:eastAsia="SimSun"/>
          <w:b/>
        </w:rPr>
        <w:t>[</w:t>
      </w:r>
      <w:r w:rsidRPr="00FB35C1">
        <w:rPr>
          <w:rFonts w:eastAsia="SimSun"/>
          <w:b/>
          <w:bCs/>
          <w:i/>
          <w:iCs/>
        </w:rPr>
        <w:t>state / territory</w:t>
      </w:r>
      <w:r w:rsidRPr="00FB35C1">
        <w:rPr>
          <w:rFonts w:eastAsia="SimSun"/>
          <w:b/>
        </w:rPr>
        <w:t>]</w:t>
      </w:r>
      <w:r>
        <w:rPr>
          <w:rFonts w:eastAsia="SimSun"/>
        </w:rPr>
        <w:t>].]</w:t>
      </w:r>
      <w:bookmarkStart w:id="54" w:name="_DV_C33"/>
      <w:r>
        <w:rPr>
          <w:rStyle w:val="EndnoteReference"/>
          <w:rFonts w:eastAsia="SimSun"/>
        </w:rPr>
        <w:endnoteReference w:id="8"/>
      </w:r>
      <w:bookmarkEnd w:id="54"/>
    </w:p>
    <w:p w14:paraId="572F1F47" w14:textId="77777777" w:rsidR="006D3CD6" w:rsidRDefault="00777A6F">
      <w:pPr>
        <w:pStyle w:val="Level1"/>
        <w:keepNext/>
        <w:widowControl/>
        <w:rPr>
          <w:rFonts w:eastAsia="SimSun"/>
          <w:b/>
          <w:bCs/>
        </w:rPr>
      </w:pPr>
      <w:bookmarkStart w:id="56" w:name="_DV_M34"/>
      <w:bookmarkEnd w:id="56"/>
      <w:r>
        <w:rPr>
          <w:rFonts w:eastAsia="SimSun"/>
          <w:b/>
          <w:bCs/>
        </w:rPr>
        <w:t>SEARCHES</w:t>
      </w:r>
    </w:p>
    <w:p w14:paraId="45CFBCBC" w14:textId="77777777" w:rsidR="006D3CD6" w:rsidRDefault="00777A6F" w:rsidP="006D3CD6">
      <w:pPr>
        <w:pStyle w:val="Levela"/>
        <w:numPr>
          <w:ilvl w:val="0"/>
          <w:numId w:val="0"/>
        </w:numPr>
        <w:ind w:left="720"/>
        <w:rPr>
          <w:rFonts w:eastAsia="SimSun"/>
        </w:rPr>
      </w:pPr>
      <w:bookmarkStart w:id="57" w:name="_DV_M35"/>
      <w:bookmarkEnd w:id="57"/>
      <w:r>
        <w:rPr>
          <w:rFonts w:eastAsia="SimSun"/>
        </w:rPr>
        <w:t>We have relied on:</w:t>
      </w:r>
    </w:p>
    <w:p w14:paraId="4D885F3F" w14:textId="0CA011A7" w:rsidR="006D3CD6" w:rsidRDefault="00777A6F" w:rsidP="006D3CD6">
      <w:pPr>
        <w:pStyle w:val="Levela"/>
        <w:widowControl/>
        <w:tabs>
          <w:tab w:val="clear" w:pos="2564"/>
          <w:tab w:val="num" w:pos="1440"/>
        </w:tabs>
        <w:ind w:left="1440"/>
        <w:rPr>
          <w:rFonts w:eastAsia="SimSun"/>
        </w:rPr>
      </w:pPr>
      <w:r>
        <w:rPr>
          <w:rFonts w:eastAsia="SimSun"/>
        </w:rPr>
        <w:t xml:space="preserve">an extract of the public records of [the / each Obligor] produced by </w:t>
      </w:r>
      <w:bookmarkStart w:id="58" w:name="_Hlk219109117"/>
      <w:r>
        <w:rPr>
          <w:rFonts w:eastAsia="SimSun"/>
        </w:rPr>
        <w:t xml:space="preserve">ASIC </w:t>
      </w:r>
      <w:r w:rsidR="00820A54">
        <w:rPr>
          <w:rFonts w:eastAsia="SimSun"/>
        </w:rPr>
        <w:t>[at [</w:t>
      </w:r>
      <w:r w:rsidR="00820A54" w:rsidRPr="00F364DC">
        <w:rPr>
          <w:rFonts w:eastAsia="SimSun"/>
          <w:b/>
          <w:i/>
        </w:rPr>
        <w:t>time</w:t>
      </w:r>
      <w:r w:rsidR="00820A54">
        <w:rPr>
          <w:rFonts w:eastAsia="SimSun"/>
        </w:rPr>
        <w:t>]]</w:t>
      </w:r>
      <w:r w:rsidR="00F40C7A" w:rsidRPr="00F40C7A">
        <w:rPr>
          <w:rStyle w:val="EndnoteReference"/>
          <w:rFonts w:eastAsia="SimSun"/>
        </w:rPr>
        <w:t xml:space="preserve"> </w:t>
      </w:r>
      <w:bookmarkEnd w:id="58"/>
      <w:r>
        <w:rPr>
          <w:rFonts w:eastAsia="SimSun"/>
        </w:rPr>
        <w:t>on [</w:t>
      </w:r>
      <w:r w:rsidRPr="001256D7">
        <w:rPr>
          <w:rFonts w:eastAsia="SimSun"/>
          <w:b/>
          <w:i/>
        </w:rPr>
        <w:t>date</w:t>
      </w:r>
      <w:r>
        <w:rPr>
          <w:rFonts w:eastAsia="SimSun"/>
        </w:rPr>
        <w:t>]; and</w:t>
      </w:r>
      <w:bookmarkStart w:id="59" w:name="_Hlk219109282"/>
      <w:r w:rsidR="00A53BE3">
        <w:rPr>
          <w:rStyle w:val="EndnoteReference"/>
          <w:rFonts w:eastAsia="SimSun"/>
        </w:rPr>
        <w:endnoteReference w:id="9"/>
      </w:r>
      <w:bookmarkEnd w:id="59"/>
    </w:p>
    <w:p w14:paraId="03BAE3C2" w14:textId="7DA48D15" w:rsidR="006D3CD6" w:rsidRDefault="00777A6F" w:rsidP="006D3CD6">
      <w:pPr>
        <w:pStyle w:val="Levela"/>
        <w:widowControl/>
        <w:tabs>
          <w:tab w:val="clear" w:pos="2564"/>
          <w:tab w:val="num" w:pos="1440"/>
        </w:tabs>
        <w:ind w:left="1440"/>
      </w:pPr>
      <w:r>
        <w:t>[</w:t>
      </w:r>
      <w:r w:rsidRPr="000D5195">
        <w:t xml:space="preserve">a </w:t>
      </w:r>
      <w:r w:rsidRPr="005101B3">
        <w:t>search</w:t>
      </w:r>
      <w:r w:rsidR="00A651D5" w:rsidRPr="005101B3">
        <w:t xml:space="preserve"> [by ACN]</w:t>
      </w:r>
      <w:r w:rsidRPr="005101B3">
        <w:t xml:space="preserve"> of the</w:t>
      </w:r>
      <w:r w:rsidRPr="000D5195">
        <w:t xml:space="preserve"> insolvency notices website maintained by ASIC</w:t>
      </w:r>
      <w:r w:rsidR="00F40C7A">
        <w:t xml:space="preserve"> </w:t>
      </w:r>
      <w:r w:rsidRPr="000D5195">
        <w:t xml:space="preserve">in respect of </w:t>
      </w:r>
      <w:r>
        <w:rPr>
          <w:rFonts w:eastAsia="SimSun"/>
        </w:rPr>
        <w:t>[the / each</w:t>
      </w:r>
      <w:r w:rsidR="00494925">
        <w:rPr>
          <w:rFonts w:eastAsia="SimSun"/>
        </w:rPr>
        <w:t>]</w:t>
      </w:r>
      <w:r>
        <w:rPr>
          <w:rFonts w:eastAsia="SimSun"/>
        </w:rPr>
        <w:t xml:space="preserve"> Obligor</w:t>
      </w:r>
      <w:r w:rsidR="00494925">
        <w:rPr>
          <w:rFonts w:eastAsia="SimSun"/>
        </w:rPr>
        <w:t xml:space="preserve"> [at [</w:t>
      </w:r>
      <w:r w:rsidR="00494925" w:rsidRPr="00F364DC">
        <w:rPr>
          <w:rFonts w:eastAsia="SimSun"/>
          <w:b/>
          <w:i/>
        </w:rPr>
        <w:t>time</w:t>
      </w:r>
      <w:r w:rsidR="00494925">
        <w:rPr>
          <w:rFonts w:eastAsia="SimSun"/>
        </w:rPr>
        <w:t>]]</w:t>
      </w:r>
      <w:r w:rsidR="00494925" w:rsidRPr="00F40C7A">
        <w:rPr>
          <w:rStyle w:val="EndnoteReference"/>
          <w:rFonts w:eastAsia="SimSun"/>
        </w:rPr>
        <w:t xml:space="preserve"> </w:t>
      </w:r>
      <w:r>
        <w:rPr>
          <w:rFonts w:eastAsia="SimSun"/>
        </w:rPr>
        <w:t xml:space="preserve"> </w:t>
      </w:r>
      <w:r w:rsidRPr="000D5195">
        <w:t xml:space="preserve">on </w:t>
      </w:r>
      <w:r w:rsidRPr="00E7089A">
        <w:t>[</w:t>
      </w:r>
      <w:r w:rsidRPr="00E7089A">
        <w:rPr>
          <w:b/>
          <w:i/>
        </w:rPr>
        <w:t>date</w:t>
      </w:r>
      <w:r w:rsidRPr="00AB5661">
        <w:t>]</w:t>
      </w:r>
      <w:r>
        <w:t>.</w:t>
      </w:r>
      <w:r w:rsidR="005222FE">
        <w:t>]</w:t>
      </w:r>
      <w:bookmarkStart w:id="60" w:name="_Hlk219109293"/>
      <w:r>
        <w:rPr>
          <w:rStyle w:val="EndnoteReference"/>
        </w:rPr>
        <w:endnoteReference w:id="10"/>
      </w:r>
      <w:bookmarkEnd w:id="60"/>
    </w:p>
    <w:p w14:paraId="33C04439" w14:textId="17A16AC4" w:rsidR="006D3CD6" w:rsidRDefault="00777A6F" w:rsidP="006D3CD6">
      <w:pPr>
        <w:pStyle w:val="Levela"/>
        <w:numPr>
          <w:ilvl w:val="0"/>
          <w:numId w:val="0"/>
        </w:numPr>
        <w:ind w:left="720"/>
        <w:rPr>
          <w:rFonts w:eastAsia="SimSun"/>
        </w:rPr>
      </w:pPr>
      <w:bookmarkStart w:id="61" w:name="_DV_M37"/>
      <w:bookmarkEnd w:id="61"/>
      <w:r>
        <w:rPr>
          <w:rFonts w:eastAsia="SimSun"/>
        </w:rPr>
        <w:t xml:space="preserve">We have assumed that [the / each] extract produced by ASIC is the same as information provided by the [relevant] Obligor to ASIC.  We have not examined any documents that [the / an] Obligor may have filed with ASIC [other than where we have expressly stated otherwise in this opinion]. </w:t>
      </w:r>
      <w:r w:rsidR="007F427F">
        <w:rPr>
          <w:rFonts w:eastAsia="SimSun"/>
        </w:rPr>
        <w:t xml:space="preserve"> </w:t>
      </w:r>
      <w:r>
        <w:rPr>
          <w:rFonts w:eastAsia="SimSun"/>
        </w:rPr>
        <w:t xml:space="preserve">The information in the extract, or produced by the search, may not be correct, complete or up to date. </w:t>
      </w:r>
    </w:p>
    <w:p w14:paraId="720601C4" w14:textId="77777777" w:rsidR="006D3CD6" w:rsidRDefault="00777A6F" w:rsidP="006D3CD6">
      <w:pPr>
        <w:pStyle w:val="Levela"/>
        <w:numPr>
          <w:ilvl w:val="0"/>
          <w:numId w:val="0"/>
        </w:numPr>
        <w:ind w:left="720"/>
        <w:rPr>
          <w:rFonts w:eastAsia="SimSun"/>
        </w:rPr>
      </w:pPr>
      <w:r>
        <w:rPr>
          <w:rFonts w:eastAsia="SimSun"/>
        </w:rPr>
        <w:t>We have not conducted any other searches or investigations</w:t>
      </w:r>
      <w:bookmarkStart w:id="62" w:name="_DV_C41"/>
      <w:r w:rsidRPr="00A94CF6">
        <w:rPr>
          <w:rFonts w:eastAsia="SimSun"/>
        </w:rPr>
        <w:t xml:space="preserve"> for the purposes of this opinion.</w:t>
      </w:r>
      <w:bookmarkStart w:id="63" w:name="_DV_C37"/>
      <w:r>
        <w:rPr>
          <w:rStyle w:val="EndnoteReference"/>
          <w:rFonts w:eastAsia="SimSun"/>
        </w:rPr>
        <w:endnoteReference w:id="11"/>
      </w:r>
      <w:bookmarkEnd w:id="63"/>
      <w:r w:rsidRPr="00A94CF6">
        <w:rPr>
          <w:rFonts w:eastAsia="SimSun"/>
        </w:rPr>
        <w:t xml:space="preserve">  </w:t>
      </w:r>
      <w:bookmarkEnd w:id="62"/>
    </w:p>
    <w:p w14:paraId="6B7EABD8" w14:textId="77777777" w:rsidR="006D3CD6" w:rsidRDefault="00777A6F">
      <w:pPr>
        <w:pStyle w:val="Level1"/>
        <w:keepNext/>
        <w:widowControl/>
        <w:rPr>
          <w:rFonts w:eastAsia="SimSun"/>
          <w:b/>
          <w:bCs/>
        </w:rPr>
      </w:pPr>
      <w:bookmarkStart w:id="64" w:name="_DV_M38"/>
      <w:bookmarkEnd w:id="64"/>
      <w:r>
        <w:rPr>
          <w:rFonts w:eastAsia="SimSun"/>
          <w:b/>
          <w:bCs/>
        </w:rPr>
        <w:t>OPINION</w:t>
      </w:r>
      <w:bookmarkStart w:id="65" w:name="_DV_C43"/>
      <w:r>
        <w:rPr>
          <w:rStyle w:val="EndnoteReference"/>
          <w:rFonts w:eastAsia="SimSun"/>
          <w:b/>
          <w:bCs/>
        </w:rPr>
        <w:endnoteReference w:id="12"/>
      </w:r>
      <w:bookmarkEnd w:id="0"/>
      <w:bookmarkEnd w:id="65"/>
    </w:p>
    <w:p w14:paraId="7593702E" w14:textId="77777777" w:rsidR="006D3CD6" w:rsidRDefault="00777A6F">
      <w:pPr>
        <w:pStyle w:val="Level1fo"/>
        <w:widowControl/>
        <w:rPr>
          <w:rFonts w:eastAsia="SimSun"/>
        </w:rPr>
      </w:pPr>
      <w:bookmarkStart w:id="67" w:name="_DV_M39"/>
      <w:bookmarkEnd w:id="67"/>
      <w:r>
        <w:rPr>
          <w:rFonts w:eastAsia="SimSun"/>
        </w:rPr>
        <w:t>Our opinion is as follows, subject to the assumptions in Schedule 1 and the qualifications in Schedule 2.</w:t>
      </w:r>
    </w:p>
    <w:p w14:paraId="34439883" w14:textId="77777777" w:rsidR="006D3CD6" w:rsidRDefault="00777A6F" w:rsidP="006D3CD6">
      <w:pPr>
        <w:pStyle w:val="Levela"/>
        <w:widowControl/>
        <w:tabs>
          <w:tab w:val="clear" w:pos="2564"/>
          <w:tab w:val="num" w:pos="1440"/>
        </w:tabs>
        <w:ind w:left="1440"/>
        <w:rPr>
          <w:rFonts w:eastAsia="SimSun"/>
        </w:rPr>
      </w:pPr>
      <w:bookmarkStart w:id="68" w:name="_DV_M40"/>
      <w:bookmarkEnd w:id="68"/>
      <w:r>
        <w:rPr>
          <w:rFonts w:eastAsia="SimSun"/>
        </w:rPr>
        <w:t>[The / Each] Obligor is incorporated and exists under the laws in force in Australia.</w:t>
      </w:r>
      <w:bookmarkStart w:id="69" w:name="_DV_C47"/>
      <w:r>
        <w:rPr>
          <w:rStyle w:val="EndnoteReference"/>
          <w:rFonts w:eastAsia="SimSun"/>
        </w:rPr>
        <w:endnoteReference w:id="13"/>
      </w:r>
      <w:bookmarkStart w:id="71" w:name="_DV_M41"/>
      <w:bookmarkEnd w:id="69"/>
      <w:bookmarkEnd w:id="71"/>
    </w:p>
    <w:p w14:paraId="203EA08D" w14:textId="77777777" w:rsidR="006D3CD6" w:rsidRPr="00CD4A32" w:rsidRDefault="00777A6F" w:rsidP="006D3CD6">
      <w:pPr>
        <w:pStyle w:val="Levela"/>
        <w:widowControl/>
        <w:tabs>
          <w:tab w:val="clear" w:pos="2564"/>
          <w:tab w:val="num" w:pos="1440"/>
        </w:tabs>
        <w:ind w:left="1440"/>
        <w:rPr>
          <w:rFonts w:eastAsia="SimSun"/>
        </w:rPr>
      </w:pPr>
      <w:bookmarkStart w:id="72" w:name="_DV_M42"/>
      <w:bookmarkStart w:id="73" w:name="_Ref221093144"/>
      <w:bookmarkEnd w:id="72"/>
      <w:r>
        <w:rPr>
          <w:rFonts w:eastAsia="SimSun"/>
        </w:rPr>
        <w:lastRenderedPageBreak/>
        <w:t xml:space="preserve">[The / Each] Obligor has the corporate power to </w:t>
      </w:r>
      <w:proofErr w:type="gramStart"/>
      <w:r>
        <w:rPr>
          <w:rFonts w:eastAsia="SimSun"/>
        </w:rPr>
        <w:t>enter into</w:t>
      </w:r>
      <w:proofErr w:type="gramEnd"/>
      <w:r>
        <w:rPr>
          <w:rFonts w:eastAsia="SimSun"/>
        </w:rPr>
        <w:t xml:space="preserve"> and to perform its obligations under the Agreement.</w:t>
      </w:r>
      <w:bookmarkStart w:id="74" w:name="_DV_C51"/>
      <w:r>
        <w:rPr>
          <w:rStyle w:val="EndnoteReference"/>
          <w:rFonts w:eastAsia="SimSun"/>
        </w:rPr>
        <w:endnoteReference w:id="14"/>
      </w:r>
      <w:bookmarkEnd w:id="73"/>
      <w:bookmarkEnd w:id="74"/>
    </w:p>
    <w:p w14:paraId="1DA1F53A" w14:textId="77777777" w:rsidR="006D3CD6" w:rsidRDefault="00777A6F" w:rsidP="006D3CD6">
      <w:pPr>
        <w:pStyle w:val="Levela"/>
        <w:tabs>
          <w:tab w:val="clear" w:pos="2564"/>
          <w:tab w:val="num" w:pos="1440"/>
        </w:tabs>
        <w:ind w:left="1440"/>
      </w:pPr>
      <w:r>
        <w:t>[In relation to [the / each] Trustee Obligor:</w:t>
      </w:r>
      <w:r>
        <w:rPr>
          <w:rStyle w:val="EndnoteReference"/>
          <w:rFonts w:eastAsia="SimSun"/>
        </w:rPr>
        <w:endnoteReference w:id="15"/>
      </w:r>
    </w:p>
    <w:p w14:paraId="694967CB" w14:textId="77777777" w:rsidR="006D3CD6" w:rsidRDefault="00777A6F" w:rsidP="006D3CD6">
      <w:pPr>
        <w:pStyle w:val="Leveli"/>
        <w:widowControl/>
        <w:rPr>
          <w:rFonts w:eastAsia="SimSun"/>
        </w:rPr>
      </w:pPr>
      <w:bookmarkStart w:id="75" w:name="_Ref419732680"/>
      <w:r>
        <w:rPr>
          <w:rFonts w:eastAsia="SimSun"/>
        </w:rPr>
        <w:t>it has t</w:t>
      </w:r>
      <w:r w:rsidRPr="00982746">
        <w:rPr>
          <w:rFonts w:eastAsia="SimSun"/>
        </w:rPr>
        <w:t xml:space="preserve">he power under </w:t>
      </w:r>
      <w:r>
        <w:rPr>
          <w:rFonts w:eastAsia="SimSun"/>
        </w:rPr>
        <w:t xml:space="preserve">its </w:t>
      </w:r>
      <w:r w:rsidRPr="00982746">
        <w:rPr>
          <w:rFonts w:eastAsia="SimSun"/>
        </w:rPr>
        <w:t xml:space="preserve">Trust Deed as trustee of </w:t>
      </w:r>
      <w:r>
        <w:rPr>
          <w:rFonts w:eastAsia="SimSun"/>
        </w:rPr>
        <w:t xml:space="preserve">its </w:t>
      </w:r>
      <w:r w:rsidRPr="00982746">
        <w:rPr>
          <w:rFonts w:eastAsia="SimSun"/>
        </w:rPr>
        <w:t xml:space="preserve">Trust to </w:t>
      </w:r>
      <w:proofErr w:type="gramStart"/>
      <w:r w:rsidRPr="00982746">
        <w:rPr>
          <w:rFonts w:eastAsia="SimSun"/>
        </w:rPr>
        <w:t>enter into</w:t>
      </w:r>
      <w:proofErr w:type="gramEnd"/>
      <w:r w:rsidRPr="00982746">
        <w:rPr>
          <w:rFonts w:eastAsia="SimSun"/>
        </w:rPr>
        <w:t xml:space="preserve"> and to </w:t>
      </w:r>
      <w:r>
        <w:rPr>
          <w:rFonts w:eastAsia="SimSun"/>
        </w:rPr>
        <w:t xml:space="preserve">perform </w:t>
      </w:r>
      <w:r w:rsidRPr="00982746">
        <w:rPr>
          <w:rFonts w:eastAsia="SimSun"/>
        </w:rPr>
        <w:t xml:space="preserve">its obligations under </w:t>
      </w:r>
      <w:r>
        <w:rPr>
          <w:rFonts w:eastAsia="SimSun"/>
        </w:rPr>
        <w:t>the Agreement</w:t>
      </w:r>
      <w:r w:rsidRPr="00982746">
        <w:rPr>
          <w:rFonts w:eastAsia="SimSun"/>
        </w:rPr>
        <w:t>;</w:t>
      </w:r>
      <w:bookmarkEnd w:id="75"/>
    </w:p>
    <w:p w14:paraId="401FB9A7" w14:textId="77777777" w:rsidR="006D3CD6" w:rsidRDefault="00777A6F" w:rsidP="006D3CD6">
      <w:pPr>
        <w:pStyle w:val="Leveli"/>
        <w:rPr>
          <w:rFonts w:eastAsia="SimSun"/>
        </w:rPr>
      </w:pPr>
      <w:bookmarkStart w:id="76" w:name="_Ref419732686"/>
      <w:r w:rsidRPr="00982746">
        <w:rPr>
          <w:rFonts w:eastAsia="SimSun"/>
        </w:rPr>
        <w:t xml:space="preserve">the </w:t>
      </w:r>
      <w:r>
        <w:rPr>
          <w:rFonts w:eastAsia="SimSun"/>
        </w:rPr>
        <w:t xml:space="preserve">procedures which its Verification Certificate confirms have been completed are the only procedures </w:t>
      </w:r>
      <w:r w:rsidRPr="00982746">
        <w:rPr>
          <w:rFonts w:eastAsia="SimSun"/>
        </w:rPr>
        <w:t xml:space="preserve">expressly required under </w:t>
      </w:r>
      <w:r>
        <w:rPr>
          <w:rFonts w:eastAsia="SimSun"/>
        </w:rPr>
        <w:t xml:space="preserve">its </w:t>
      </w:r>
      <w:r w:rsidRPr="00982746">
        <w:rPr>
          <w:rFonts w:eastAsia="SimSun"/>
        </w:rPr>
        <w:t>Trust Deed</w:t>
      </w:r>
      <w:r>
        <w:rPr>
          <w:rFonts w:eastAsia="SimSun"/>
        </w:rPr>
        <w:t xml:space="preserve"> to</w:t>
      </w:r>
      <w:r w:rsidRPr="00982746">
        <w:rPr>
          <w:rFonts w:eastAsia="SimSun"/>
        </w:rPr>
        <w:t xml:space="preserve"> authorise </w:t>
      </w:r>
      <w:r>
        <w:rPr>
          <w:rFonts w:eastAsia="SimSun"/>
        </w:rPr>
        <w:t xml:space="preserve">its </w:t>
      </w:r>
      <w:r w:rsidRPr="00982746">
        <w:rPr>
          <w:rFonts w:eastAsia="SimSun"/>
        </w:rPr>
        <w:t xml:space="preserve">entry into and performance </w:t>
      </w:r>
      <w:r>
        <w:rPr>
          <w:rFonts w:eastAsia="SimSun"/>
        </w:rPr>
        <w:t>of its obligations under the Agreement;</w:t>
      </w:r>
      <w:bookmarkStart w:id="77" w:name="_Ref397267770"/>
      <w:r>
        <w:rPr>
          <w:rStyle w:val="EndnoteReference"/>
          <w:rFonts w:eastAsia="SimSun"/>
        </w:rPr>
        <w:endnoteReference w:id="16"/>
      </w:r>
      <w:bookmarkEnd w:id="77"/>
      <w:r>
        <w:rPr>
          <w:rFonts w:eastAsia="SimSun"/>
        </w:rPr>
        <w:t xml:space="preserve"> and</w:t>
      </w:r>
      <w:bookmarkEnd w:id="76"/>
    </w:p>
    <w:p w14:paraId="1C220C85" w14:textId="77777777" w:rsidR="006D3CD6" w:rsidRPr="00982746" w:rsidRDefault="00777A6F" w:rsidP="006D3CD6">
      <w:pPr>
        <w:pStyle w:val="Leveli"/>
        <w:widowControl/>
        <w:ind w:left="2160" w:hanging="742"/>
        <w:rPr>
          <w:rFonts w:eastAsia="SimSun"/>
        </w:rPr>
      </w:pPr>
      <w:bookmarkStart w:id="78" w:name="_Ref419732910"/>
      <w:r>
        <w:rPr>
          <w:rFonts w:eastAsia="SimSun"/>
        </w:rPr>
        <w:t>it has a right to be indemnified out of assets of its Trust in relation to liabilities properly incurred under the Agreement.</w:t>
      </w:r>
      <w:r>
        <w:rPr>
          <w:rStyle w:val="EndnoteReference"/>
          <w:rFonts w:eastAsia="SimSun"/>
        </w:rPr>
        <w:endnoteReference w:id="17"/>
      </w:r>
      <w:r>
        <w:rPr>
          <w:rFonts w:eastAsia="SimSun"/>
        </w:rPr>
        <w:t>]</w:t>
      </w:r>
      <w:bookmarkEnd w:id="78"/>
    </w:p>
    <w:p w14:paraId="6146FD6A" w14:textId="77777777" w:rsidR="006D3CD6" w:rsidRPr="005101B3" w:rsidRDefault="00777A6F" w:rsidP="006D3CD6">
      <w:pPr>
        <w:pStyle w:val="Levela"/>
        <w:widowControl/>
        <w:tabs>
          <w:tab w:val="clear" w:pos="2564"/>
          <w:tab w:val="num" w:pos="1440"/>
        </w:tabs>
        <w:ind w:left="1440"/>
        <w:rPr>
          <w:rFonts w:eastAsia="SimSun"/>
        </w:rPr>
      </w:pPr>
      <w:bookmarkStart w:id="79" w:name="_DV_M43"/>
      <w:bookmarkStart w:id="80" w:name="_Ref419732658"/>
      <w:bookmarkEnd w:id="79"/>
      <w:r>
        <w:rPr>
          <w:rFonts w:eastAsia="SimSun"/>
        </w:rPr>
        <w:t>The entry by [the / each] Obligor into and the performance by [the / each] Obligor of its obligations under the Agreement, does not and will not breach any law of the Relevant Jurisdictions</w:t>
      </w:r>
      <w:r w:rsidR="00A41260">
        <w:rPr>
          <w:rFonts w:eastAsia="SimSun"/>
        </w:rPr>
        <w:t xml:space="preserve"> </w:t>
      </w:r>
      <w:r w:rsidR="00A41260" w:rsidRPr="005101B3">
        <w:rPr>
          <w:rFonts w:eastAsia="SimSun"/>
        </w:rPr>
        <w:t>applicable to companies generally</w:t>
      </w:r>
      <w:r w:rsidRPr="005101B3">
        <w:rPr>
          <w:rFonts w:eastAsia="SimSun"/>
        </w:rPr>
        <w:t>.</w:t>
      </w:r>
      <w:bookmarkStart w:id="81" w:name="_DV_C55"/>
      <w:r w:rsidRPr="005101B3">
        <w:rPr>
          <w:rStyle w:val="EndnoteReference"/>
          <w:rFonts w:eastAsia="SimSun"/>
        </w:rPr>
        <w:endnoteReference w:id="18"/>
      </w:r>
      <w:bookmarkEnd w:id="1"/>
      <w:bookmarkEnd w:id="80"/>
      <w:bookmarkEnd w:id="81"/>
    </w:p>
    <w:p w14:paraId="7B74C710" w14:textId="77777777" w:rsidR="006D3CD6" w:rsidRPr="005101B3" w:rsidRDefault="00777A6F" w:rsidP="006D3CD6">
      <w:pPr>
        <w:pStyle w:val="Levela"/>
        <w:widowControl/>
        <w:tabs>
          <w:tab w:val="clear" w:pos="2564"/>
          <w:tab w:val="num" w:pos="1440"/>
        </w:tabs>
        <w:ind w:left="1440"/>
        <w:rPr>
          <w:rFonts w:eastAsia="SimSun"/>
        </w:rPr>
      </w:pPr>
      <w:bookmarkStart w:id="82" w:name="_DV_M44"/>
      <w:bookmarkStart w:id="83" w:name="_Ref287278957"/>
      <w:bookmarkEnd w:id="82"/>
      <w:r w:rsidRPr="005101B3">
        <w:rPr>
          <w:rFonts w:eastAsia="SimSun"/>
        </w:rPr>
        <w:t>The Agreement [has been executed by [the / each] Obligor and]</w:t>
      </w:r>
      <w:r w:rsidRPr="005101B3">
        <w:rPr>
          <w:rStyle w:val="EndnoteReference"/>
          <w:rFonts w:eastAsia="SimSun"/>
        </w:rPr>
        <w:endnoteReference w:id="19"/>
      </w:r>
      <w:r w:rsidRPr="005101B3">
        <w:rPr>
          <w:rStyle w:val="EndnoteReference"/>
          <w:rFonts w:eastAsia="SimSun"/>
        </w:rPr>
        <w:t xml:space="preserve"> </w:t>
      </w:r>
      <w:bookmarkStart w:id="86" w:name="_DV_M45"/>
      <w:bookmarkEnd w:id="86"/>
      <w:r w:rsidRPr="005101B3">
        <w:rPr>
          <w:rFonts w:eastAsia="SimSun"/>
        </w:rPr>
        <w:t>constitutes binding obligations of [the / each] Obligor, enforceable against it in competent courts of the Relevant Jurisdictions.</w:t>
      </w:r>
      <w:bookmarkStart w:id="87" w:name="_DV_C63"/>
      <w:r w:rsidRPr="005101B3">
        <w:rPr>
          <w:rStyle w:val="EndnoteReference"/>
          <w:rFonts w:eastAsia="SimSun"/>
        </w:rPr>
        <w:endnoteReference w:id="20"/>
      </w:r>
      <w:bookmarkEnd w:id="83"/>
      <w:bookmarkEnd w:id="87"/>
    </w:p>
    <w:p w14:paraId="4A059ECF" w14:textId="77777777" w:rsidR="006D3CD6" w:rsidRPr="005101B3" w:rsidRDefault="00777A6F" w:rsidP="006D3CD6">
      <w:pPr>
        <w:pStyle w:val="Levela"/>
        <w:widowControl/>
        <w:tabs>
          <w:tab w:val="clear" w:pos="2564"/>
          <w:tab w:val="num" w:pos="1440"/>
        </w:tabs>
        <w:ind w:left="1440"/>
        <w:rPr>
          <w:rFonts w:eastAsia="SimSun"/>
        </w:rPr>
      </w:pPr>
      <w:bookmarkStart w:id="88" w:name="_DV_M46"/>
      <w:bookmarkStart w:id="89" w:name="_Ref221094262"/>
      <w:bookmarkStart w:id="90" w:name="_Ref268080832"/>
      <w:bookmarkEnd w:id="88"/>
      <w:r w:rsidRPr="005101B3">
        <w:rPr>
          <w:rFonts w:eastAsia="SimSun"/>
        </w:rPr>
        <w:t>[The Obligor does not require / No Obligor requires] any authorisation from any government agency of the Relevant Jurisdictions to enable it to enter into or to perform its obligations under the Agreement, or to make its obligations under the Agreement binding, enforceable and admissible in evidence against it in competent courts of the Relevant Jurisdictions [, other than:</w:t>
      </w:r>
      <w:bookmarkEnd w:id="89"/>
    </w:p>
    <w:p w14:paraId="54AA378D" w14:textId="3914A1ED" w:rsidR="006D3CD6" w:rsidRPr="005101B3" w:rsidRDefault="00777A6F">
      <w:pPr>
        <w:pStyle w:val="Leveli"/>
        <w:widowControl/>
        <w:rPr>
          <w:rFonts w:eastAsia="SimSun"/>
        </w:rPr>
      </w:pPr>
      <w:bookmarkStart w:id="91" w:name="_DV_M47"/>
      <w:bookmarkEnd w:id="91"/>
      <w:r w:rsidRPr="005101B3">
        <w:rPr>
          <w:rFonts w:eastAsia="SimSun"/>
        </w:rPr>
        <w:t>the authorisations listed in paragraph</w:t>
      </w:r>
      <w:r w:rsidR="00974362" w:rsidRPr="005101B3">
        <w:rPr>
          <w:rFonts w:eastAsia="SimSun"/>
        </w:rPr>
        <w:t xml:space="preserve"> </w:t>
      </w:r>
      <w:r w:rsidR="005101B3">
        <w:rPr>
          <w:rFonts w:eastAsia="SimSun"/>
        </w:rPr>
        <w:fldChar w:fldCharType="begin"/>
      </w:r>
      <w:r w:rsidR="005101B3">
        <w:rPr>
          <w:rFonts w:eastAsia="SimSun"/>
        </w:rPr>
        <w:instrText xml:space="preserve"> REF _Ref213764241 \w \h </w:instrText>
      </w:r>
      <w:r w:rsidR="005101B3">
        <w:rPr>
          <w:rFonts w:eastAsia="SimSun"/>
        </w:rPr>
      </w:r>
      <w:r w:rsidR="005101B3">
        <w:rPr>
          <w:rFonts w:eastAsia="SimSun"/>
        </w:rPr>
        <w:fldChar w:fldCharType="separate"/>
      </w:r>
      <w:r w:rsidR="0003457F">
        <w:rPr>
          <w:rFonts w:eastAsia="SimSun"/>
          <w:cs/>
        </w:rPr>
        <w:t>‎</w:t>
      </w:r>
      <w:r w:rsidR="0003457F">
        <w:rPr>
          <w:rFonts w:eastAsia="SimSun"/>
        </w:rPr>
        <w:t>2(f)</w:t>
      </w:r>
      <w:r w:rsidR="005101B3">
        <w:rPr>
          <w:rFonts w:eastAsia="SimSun"/>
        </w:rPr>
        <w:fldChar w:fldCharType="end"/>
      </w:r>
      <w:r w:rsidRPr="005101B3">
        <w:rPr>
          <w:rFonts w:eastAsia="SimSun"/>
        </w:rPr>
        <w:t>]; and</w:t>
      </w:r>
      <w:bookmarkEnd w:id="90"/>
    </w:p>
    <w:p w14:paraId="2121F996" w14:textId="77777777" w:rsidR="006D3CD6" w:rsidRPr="005101B3" w:rsidRDefault="00777A6F">
      <w:pPr>
        <w:pStyle w:val="Leveli"/>
        <w:widowControl/>
        <w:rPr>
          <w:rFonts w:eastAsia="SimSun"/>
        </w:rPr>
      </w:pPr>
      <w:bookmarkStart w:id="92" w:name="_DV_M48"/>
      <w:bookmarkEnd w:id="92"/>
      <w:r w:rsidRPr="005101B3">
        <w:rPr>
          <w:rFonts w:eastAsia="SimSun"/>
        </w:rPr>
        <w:t>[</w:t>
      </w:r>
      <w:r w:rsidRPr="005101B3">
        <w:rPr>
          <w:rFonts w:ascii="Verdana" w:hAnsi="Verdana"/>
        </w:rPr>
        <w:t>●</w:t>
      </w:r>
      <w:r w:rsidRPr="005101B3">
        <w:rPr>
          <w:rFonts w:eastAsia="SimSun"/>
        </w:rPr>
        <w:t>]].</w:t>
      </w:r>
      <w:bookmarkStart w:id="93" w:name="_DV_C67"/>
      <w:r w:rsidRPr="005101B3">
        <w:rPr>
          <w:rStyle w:val="EndnoteReference"/>
          <w:rFonts w:eastAsia="SimSun"/>
        </w:rPr>
        <w:endnoteReference w:id="21"/>
      </w:r>
      <w:bookmarkEnd w:id="93"/>
    </w:p>
    <w:p w14:paraId="2F70AF68" w14:textId="77777777" w:rsidR="006D3CD6" w:rsidRDefault="00777A6F" w:rsidP="006D3CD6">
      <w:pPr>
        <w:pStyle w:val="Levela"/>
        <w:widowControl/>
        <w:tabs>
          <w:tab w:val="clear" w:pos="2564"/>
          <w:tab w:val="num" w:pos="1440"/>
        </w:tabs>
        <w:ind w:left="1440"/>
        <w:rPr>
          <w:rFonts w:eastAsia="SimSun"/>
        </w:rPr>
      </w:pPr>
      <w:bookmarkStart w:id="94" w:name="_DV_M50"/>
      <w:bookmarkStart w:id="95" w:name="_Ref267891435"/>
      <w:bookmarkEnd w:id="94"/>
      <w:r>
        <w:rPr>
          <w:rFonts w:eastAsia="SimSun"/>
        </w:rPr>
        <w:t xml:space="preserve">It is not necessary to file, register or record the Agreement [or [the / a] Power of Attorney] with any government agency of the Relevant Jurisdictions to ensure that the Agreement is binding, enforceable and admissible in evidence against [the / an] Obligor </w:t>
      </w:r>
      <w:r>
        <w:t xml:space="preserve">in competent courts of the Relevant Jurisdictions </w:t>
      </w:r>
      <w:r>
        <w:rPr>
          <w:rFonts w:eastAsia="SimSun"/>
        </w:rPr>
        <w:t>[, other than:</w:t>
      </w:r>
      <w:bookmarkEnd w:id="95"/>
    </w:p>
    <w:p w14:paraId="1106004D" w14:textId="77777777" w:rsidR="006D3CD6" w:rsidRPr="005101B3" w:rsidRDefault="00777A6F">
      <w:pPr>
        <w:pStyle w:val="Levelafo"/>
        <w:widowControl/>
        <w:rPr>
          <w:rFonts w:eastAsia="SimSun"/>
        </w:rPr>
      </w:pPr>
      <w:bookmarkStart w:id="96" w:name="_DV_M51"/>
      <w:bookmarkEnd w:id="96"/>
      <w:r w:rsidRPr="005101B3">
        <w:rPr>
          <w:rFonts w:eastAsia="SimSun"/>
        </w:rPr>
        <w:t>[</w:t>
      </w:r>
      <w:r w:rsidRPr="005101B3">
        <w:rPr>
          <w:rFonts w:ascii="Verdana" w:hAnsi="Verdana"/>
        </w:rPr>
        <w:t>●</w:t>
      </w:r>
      <w:r w:rsidRPr="005101B3">
        <w:rPr>
          <w:rFonts w:eastAsia="SimSun"/>
        </w:rPr>
        <w:t>]].</w:t>
      </w:r>
      <w:bookmarkStart w:id="97" w:name="_DV_C71"/>
      <w:r w:rsidRPr="005101B3">
        <w:rPr>
          <w:rStyle w:val="EndnoteReference"/>
          <w:rFonts w:eastAsia="SimSun"/>
        </w:rPr>
        <w:endnoteReference w:id="22"/>
      </w:r>
      <w:bookmarkEnd w:id="97"/>
    </w:p>
    <w:p w14:paraId="2E464372" w14:textId="474442F7" w:rsidR="006D3CD6" w:rsidRPr="005101B3" w:rsidRDefault="00777A6F" w:rsidP="006D3CD6">
      <w:pPr>
        <w:pStyle w:val="Levela"/>
        <w:widowControl/>
        <w:tabs>
          <w:tab w:val="clear" w:pos="2564"/>
          <w:tab w:val="num" w:pos="1440"/>
        </w:tabs>
        <w:ind w:left="1440"/>
        <w:rPr>
          <w:rFonts w:eastAsia="SimSun"/>
        </w:rPr>
      </w:pPr>
      <w:bookmarkStart w:id="98" w:name="_DV_M53"/>
      <w:bookmarkStart w:id="99" w:name="_DV_M54"/>
      <w:bookmarkStart w:id="100" w:name="_Ref419732579"/>
      <w:bookmarkStart w:id="101" w:name="_Ref267890965"/>
      <w:bookmarkEnd w:id="98"/>
      <w:bookmarkEnd w:id="99"/>
      <w:r w:rsidRPr="005101B3">
        <w:rPr>
          <w:rFonts w:eastAsia="SimSun"/>
        </w:rPr>
        <w:t xml:space="preserve">[[A/The] Trustee Obligor's payment obligations under the Agreement rank at least equally with its other unsecured and unsubordinated payment obligations </w:t>
      </w:r>
      <w:r w:rsidR="004162E4" w:rsidRPr="005101B3">
        <w:rPr>
          <w:rFonts w:eastAsia="SimSun"/>
        </w:rPr>
        <w:t>(</w:t>
      </w:r>
      <w:r w:rsidR="0067236B">
        <w:rPr>
          <w:rFonts w:eastAsia="SimSun"/>
        </w:rPr>
        <w:t xml:space="preserve">and, to the extent </w:t>
      </w:r>
      <w:r w:rsidR="00856A69">
        <w:rPr>
          <w:rFonts w:eastAsia="SimSun"/>
        </w:rPr>
        <w:t xml:space="preserve">they are </w:t>
      </w:r>
      <w:r w:rsidR="0067236B">
        <w:rPr>
          <w:rFonts w:eastAsia="SimSun"/>
        </w:rPr>
        <w:t>payable from</w:t>
      </w:r>
      <w:r w:rsidR="00A50850" w:rsidRPr="005101B3">
        <w:rPr>
          <w:rFonts w:eastAsia="SimSun"/>
        </w:rPr>
        <w:t xml:space="preserve"> </w:t>
      </w:r>
      <w:r w:rsidR="00882E29" w:rsidRPr="005101B3">
        <w:rPr>
          <w:rFonts w:eastAsia="SimSun"/>
        </w:rPr>
        <w:t>the assets of the Trust</w:t>
      </w:r>
      <w:r w:rsidR="00E1449A" w:rsidRPr="005101B3">
        <w:rPr>
          <w:rFonts w:eastAsia="SimSun"/>
        </w:rPr>
        <w:t xml:space="preserve">, </w:t>
      </w:r>
      <w:r w:rsidR="0067236B">
        <w:rPr>
          <w:rFonts w:eastAsia="SimSun"/>
        </w:rPr>
        <w:t xml:space="preserve">rank at least </w:t>
      </w:r>
      <w:r w:rsidR="0067236B" w:rsidRPr="005101B3">
        <w:rPr>
          <w:rFonts w:eastAsia="SimSun"/>
        </w:rPr>
        <w:t xml:space="preserve">equally with its other unsecured and unsubordinated payment obligations </w:t>
      </w:r>
      <w:r w:rsidRPr="005101B3">
        <w:rPr>
          <w:rFonts w:eastAsia="SimSun"/>
        </w:rPr>
        <w:t xml:space="preserve">that are </w:t>
      </w:r>
      <w:r w:rsidR="00A41260" w:rsidRPr="005101B3">
        <w:rPr>
          <w:rFonts w:eastAsia="SimSun"/>
        </w:rPr>
        <w:t xml:space="preserve">properly </w:t>
      </w:r>
      <w:r w:rsidRPr="005101B3">
        <w:rPr>
          <w:rFonts w:eastAsia="SimSun"/>
        </w:rPr>
        <w:t>incurred by it as trustee of the Trust</w:t>
      </w:r>
      <w:r w:rsidR="001E3342" w:rsidRPr="005101B3">
        <w:rPr>
          <w:rFonts w:eastAsia="SimSun"/>
        </w:rPr>
        <w:t>)</w:t>
      </w:r>
      <w:r w:rsidRPr="005101B3">
        <w:rPr>
          <w:rFonts w:eastAsia="SimSun"/>
        </w:rPr>
        <w:t>, except</w:t>
      </w:r>
      <w:r w:rsidR="00856A69">
        <w:rPr>
          <w:rFonts w:eastAsia="SimSun"/>
        </w:rPr>
        <w:t xml:space="preserve"> in each case</w:t>
      </w:r>
      <w:r w:rsidRPr="005101B3">
        <w:rPr>
          <w:rFonts w:eastAsia="SimSun"/>
        </w:rPr>
        <w:t xml:space="preserve"> for payment obligations that are mandatorily preferred by law</w:t>
      </w:r>
      <w:r w:rsidR="00A41260" w:rsidRPr="005101B3">
        <w:rPr>
          <w:rFonts w:eastAsia="SimSun"/>
        </w:rPr>
        <w:t xml:space="preserve"> and subject to the effect of any contractual limitation of liability</w:t>
      </w:r>
      <w:r w:rsidRPr="005101B3">
        <w:rPr>
          <w:rFonts w:eastAsia="SimSun"/>
        </w:rPr>
        <w:t>.</w:t>
      </w:r>
      <w:bookmarkStart w:id="102" w:name="_Ref403459687"/>
      <w:r w:rsidRPr="005101B3">
        <w:rPr>
          <w:rStyle w:val="EndnoteReference"/>
          <w:rFonts w:eastAsia="SimSun"/>
        </w:rPr>
        <w:endnoteReference w:id="23"/>
      </w:r>
      <w:bookmarkEnd w:id="102"/>
      <w:r w:rsidRPr="005101B3">
        <w:rPr>
          <w:rFonts w:eastAsia="SimSun"/>
        </w:rPr>
        <w:t>]</w:t>
      </w:r>
      <w:bookmarkEnd w:id="100"/>
    </w:p>
    <w:p w14:paraId="58962C1A" w14:textId="77777777" w:rsidR="006D3CD6" w:rsidRDefault="00777A6F" w:rsidP="006D3CD6">
      <w:pPr>
        <w:pStyle w:val="Levela"/>
        <w:widowControl/>
        <w:tabs>
          <w:tab w:val="clear" w:pos="2564"/>
          <w:tab w:val="num" w:pos="1440"/>
        </w:tabs>
        <w:ind w:left="1440"/>
        <w:rPr>
          <w:rFonts w:eastAsia="SimSun"/>
        </w:rPr>
      </w:pPr>
      <w:r w:rsidRPr="005101B3">
        <w:rPr>
          <w:rFonts w:eastAsia="SimSun"/>
        </w:rPr>
        <w:t>[The / Each] [other] Obligor’s payment</w:t>
      </w:r>
      <w:r>
        <w:rPr>
          <w:rFonts w:eastAsia="SimSun"/>
        </w:rPr>
        <w:t xml:space="preserve"> obligations under the Agreement rank at least equally with its other unsecured and unsubordinated payment obligations, other than payment obligations that are mandatorily preferred by law.</w:t>
      </w:r>
    </w:p>
    <w:p w14:paraId="1426CA6C" w14:textId="66EA9FBC" w:rsidR="006D3CD6" w:rsidRDefault="00777A6F" w:rsidP="006D3CD6">
      <w:pPr>
        <w:pStyle w:val="Levela"/>
        <w:widowControl/>
        <w:tabs>
          <w:tab w:val="clear" w:pos="2564"/>
          <w:tab w:val="num" w:pos="1440"/>
        </w:tabs>
        <w:ind w:left="1440"/>
        <w:rPr>
          <w:rFonts w:eastAsia="SimSun"/>
        </w:rPr>
      </w:pPr>
      <w:bookmarkStart w:id="103" w:name="_Ref419732213"/>
      <w:r w:rsidRPr="005101B3">
        <w:rPr>
          <w:rFonts w:eastAsia="SimSun"/>
        </w:rPr>
        <w:t xml:space="preserve">No </w:t>
      </w:r>
      <w:r w:rsidR="00A41260" w:rsidRPr="005101B3">
        <w:rPr>
          <w:rFonts w:eastAsia="SimSun"/>
        </w:rPr>
        <w:t xml:space="preserve">ad valorem </w:t>
      </w:r>
      <w:r w:rsidRPr="005101B3">
        <w:rPr>
          <w:rFonts w:eastAsia="SimSun"/>
        </w:rPr>
        <w:t>stamp duty or other documentary tax is payable on the Agreement or in respect</w:t>
      </w:r>
      <w:r>
        <w:rPr>
          <w:rFonts w:eastAsia="SimSun"/>
        </w:rPr>
        <w:t xml:space="preserve"> of any transaction effected by the Agreement.</w:t>
      </w:r>
      <w:bookmarkStart w:id="104" w:name="_Hlk219110112"/>
      <w:bookmarkEnd w:id="101"/>
      <w:bookmarkEnd w:id="103"/>
      <w:r>
        <w:rPr>
          <w:rStyle w:val="EndnoteReference"/>
          <w:rFonts w:eastAsia="SimSun"/>
        </w:rPr>
        <w:endnoteReference w:id="24"/>
      </w:r>
      <w:bookmarkEnd w:id="104"/>
    </w:p>
    <w:p w14:paraId="6C890C1A" w14:textId="77777777" w:rsidR="006D3CD6" w:rsidRDefault="00777A6F">
      <w:pPr>
        <w:pStyle w:val="Level1"/>
        <w:keepNext/>
        <w:widowControl/>
        <w:rPr>
          <w:rFonts w:eastAsia="SimSun"/>
          <w:b/>
          <w:bCs/>
        </w:rPr>
      </w:pPr>
      <w:r>
        <w:rPr>
          <w:rFonts w:eastAsia="SimSun"/>
          <w:b/>
          <w:bCs/>
        </w:rPr>
        <w:lastRenderedPageBreak/>
        <w:t>BENEFIT</w:t>
      </w:r>
    </w:p>
    <w:p w14:paraId="60A234FC" w14:textId="77777777" w:rsidR="006D3CD6" w:rsidRDefault="00777A6F">
      <w:pPr>
        <w:pStyle w:val="Level1fo"/>
        <w:widowControl/>
        <w:rPr>
          <w:rFonts w:eastAsia="SimSun"/>
        </w:rPr>
      </w:pPr>
      <w:bookmarkStart w:id="105" w:name="_DV_M57"/>
      <w:bookmarkEnd w:id="105"/>
      <w:r>
        <w:rPr>
          <w:rFonts w:eastAsia="SimSun"/>
        </w:rPr>
        <w:t xml:space="preserve">We are providing this opinion for your sole benefit in connection with the Agreement.  It is not to be used or relied on by any other person or for any other purpose without our written consent.  </w:t>
      </w:r>
    </w:p>
    <w:p w14:paraId="49D784FB" w14:textId="77777777" w:rsidR="006D3CD6" w:rsidRDefault="00777A6F">
      <w:pPr>
        <w:pStyle w:val="Level1fo"/>
        <w:keepNext/>
        <w:widowControl/>
        <w:rPr>
          <w:rFonts w:eastAsia="SimSun"/>
        </w:rPr>
      </w:pPr>
      <w:bookmarkStart w:id="106" w:name="_DV_M58"/>
      <w:bookmarkEnd w:id="106"/>
      <w:r>
        <w:rPr>
          <w:rFonts w:eastAsia="SimSun"/>
        </w:rPr>
        <w:t>This opinion is confidential.  It may not be disclosed to any government agency or other person, quoted in any public document or otherwise referred to without our written consent, except that it may be disclosed (on a no-reliance basis):</w:t>
      </w:r>
    </w:p>
    <w:p w14:paraId="6C157E6D" w14:textId="5638D19D" w:rsidR="006D3CD6" w:rsidRDefault="00777A6F" w:rsidP="006D3CD6">
      <w:pPr>
        <w:pStyle w:val="Levela"/>
        <w:widowControl/>
        <w:tabs>
          <w:tab w:val="clear" w:pos="2564"/>
          <w:tab w:val="num" w:pos="1440"/>
        </w:tabs>
        <w:ind w:left="1440"/>
        <w:rPr>
          <w:rFonts w:eastAsia="SimSun"/>
        </w:rPr>
      </w:pPr>
      <w:bookmarkStart w:id="107" w:name="_DV_M59"/>
      <w:bookmarkEnd w:id="107"/>
      <w:r>
        <w:rPr>
          <w:rFonts w:eastAsia="SimSun"/>
        </w:rPr>
        <w:t xml:space="preserve">to any </w:t>
      </w:r>
      <w:bookmarkStart w:id="108" w:name="_DV_M60"/>
      <w:bookmarkEnd w:id="108"/>
      <w:r>
        <w:rPr>
          <w:rFonts w:eastAsia="SimSun"/>
        </w:rPr>
        <w:t>person who proposes to become a [</w:t>
      </w:r>
      <w:bookmarkStart w:id="109" w:name="_DV_M61"/>
      <w:bookmarkEnd w:id="109"/>
      <w:r>
        <w:rPr>
          <w:rFonts w:eastAsia="SimSun"/>
        </w:rPr>
        <w:t>Lender] under the Agreement;</w:t>
      </w:r>
    </w:p>
    <w:p w14:paraId="0FA0155C" w14:textId="2FF88553" w:rsidR="006D3CD6" w:rsidRDefault="00777A6F" w:rsidP="006D3CD6">
      <w:pPr>
        <w:pStyle w:val="Levela"/>
        <w:widowControl/>
        <w:tabs>
          <w:tab w:val="clear" w:pos="2564"/>
          <w:tab w:val="num" w:pos="1440"/>
        </w:tabs>
        <w:ind w:left="1440"/>
        <w:rPr>
          <w:rFonts w:eastAsia="SimSun"/>
        </w:rPr>
      </w:pPr>
      <w:bookmarkStart w:id="110" w:name="_DV_M62"/>
      <w:bookmarkStart w:id="111" w:name="_Ref268505772"/>
      <w:bookmarkEnd w:id="110"/>
      <w:r>
        <w:rPr>
          <w:rFonts w:eastAsia="SimSun"/>
        </w:rPr>
        <w:t>as required by law (including, without limitation, the rules of a recognised stock exchange) or to any regulator</w:t>
      </w:r>
      <w:r w:rsidR="008A1F39">
        <w:rPr>
          <w:rFonts w:eastAsia="SimSun"/>
        </w:rPr>
        <w:t>, court or other authority</w:t>
      </w:r>
      <w:r>
        <w:rPr>
          <w:rFonts w:eastAsia="SimSun"/>
        </w:rPr>
        <w:t xml:space="preserve"> having jurisdiction over your affairs;</w:t>
      </w:r>
      <w:bookmarkEnd w:id="111"/>
    </w:p>
    <w:p w14:paraId="0B602458" w14:textId="19390DD5" w:rsidR="006D3CD6" w:rsidRDefault="00777A6F" w:rsidP="006D3CD6">
      <w:pPr>
        <w:pStyle w:val="Levela"/>
        <w:widowControl/>
        <w:tabs>
          <w:tab w:val="clear" w:pos="2564"/>
          <w:tab w:val="num" w:pos="1440"/>
        </w:tabs>
        <w:ind w:left="1440"/>
        <w:rPr>
          <w:rFonts w:eastAsia="SimSun"/>
        </w:rPr>
      </w:pPr>
      <w:bookmarkStart w:id="112" w:name="_DV_M63"/>
      <w:bookmarkEnd w:id="112"/>
      <w:r>
        <w:rPr>
          <w:rFonts w:eastAsia="SimSun"/>
        </w:rPr>
        <w:t>to</w:t>
      </w:r>
      <w:r w:rsidR="008A1F39" w:rsidRPr="008A1F39">
        <w:t xml:space="preserve"> </w:t>
      </w:r>
      <w:bookmarkStart w:id="113" w:name="_Hlk219110189"/>
      <w:r w:rsidR="008A1F39">
        <w:t>an</w:t>
      </w:r>
      <w:r w:rsidR="008A1F39" w:rsidRPr="00170AA1">
        <w:t xml:space="preserve"> affiliate, insurer, auditor, legal adviser </w:t>
      </w:r>
      <w:r w:rsidR="008A1F39">
        <w:t>or</w:t>
      </w:r>
      <w:r w:rsidR="008A1F39" w:rsidRPr="00170AA1">
        <w:t xml:space="preserve"> other professional adviser</w:t>
      </w:r>
      <w:r w:rsidR="008A1F39">
        <w:t xml:space="preserve">, </w:t>
      </w:r>
      <w:bookmarkEnd w:id="113"/>
      <w:r w:rsidR="008A1F39">
        <w:t>and</w:t>
      </w:r>
      <w:r>
        <w:rPr>
          <w:rFonts w:eastAsia="SimSun"/>
        </w:rPr>
        <w:t xml:space="preserve"> any person who in the ordinary course has access to your papers and records</w:t>
      </w:r>
      <w:r w:rsidR="008A1F39" w:rsidRPr="00170AA1">
        <w:t>,</w:t>
      </w:r>
      <w:r>
        <w:rPr>
          <w:rFonts w:eastAsia="SimSun"/>
        </w:rPr>
        <w:t xml:space="preserve"> on the basis that the person makes no further disclosure; or</w:t>
      </w:r>
    </w:p>
    <w:p w14:paraId="025F071C" w14:textId="77777777" w:rsidR="006D3CD6" w:rsidRDefault="00777A6F" w:rsidP="006D3CD6">
      <w:pPr>
        <w:pStyle w:val="Levela"/>
        <w:widowControl/>
        <w:tabs>
          <w:tab w:val="clear" w:pos="2564"/>
          <w:tab w:val="num" w:pos="1440"/>
        </w:tabs>
        <w:ind w:left="1440"/>
        <w:rPr>
          <w:rFonts w:eastAsia="SimSun"/>
        </w:rPr>
      </w:pPr>
      <w:bookmarkStart w:id="114" w:name="_DV_M64"/>
      <w:bookmarkStart w:id="115" w:name="_Ref268505776"/>
      <w:bookmarkEnd w:id="114"/>
      <w:r>
        <w:rPr>
          <w:rFonts w:eastAsia="SimSun"/>
        </w:rPr>
        <w:t>as required in connection with any actual or contemplated legal proceedings relating to the Agreement or this opinion.</w:t>
      </w:r>
      <w:bookmarkEnd w:id="115"/>
    </w:p>
    <w:p w14:paraId="12A0670F" w14:textId="77777777" w:rsidR="006D3CD6" w:rsidRDefault="00777A6F">
      <w:pPr>
        <w:widowControl/>
        <w:rPr>
          <w:rFonts w:eastAsia="SimSun"/>
        </w:rPr>
      </w:pPr>
      <w:bookmarkStart w:id="116" w:name="_DV_M65"/>
      <w:bookmarkEnd w:id="116"/>
      <w:r>
        <w:rPr>
          <w:rFonts w:eastAsia="SimSun"/>
        </w:rPr>
        <w:t>Yours faithfully</w:t>
      </w:r>
    </w:p>
    <w:p w14:paraId="2E9E7289" w14:textId="77777777" w:rsidR="006D3CD6" w:rsidRDefault="00777A6F">
      <w:pPr>
        <w:pStyle w:val="Title"/>
        <w:widowControl/>
        <w:rPr>
          <w:rFonts w:eastAsia="SimSun"/>
        </w:rPr>
      </w:pPr>
      <w:bookmarkStart w:id="117" w:name="_DV_M66"/>
      <w:bookmarkEnd w:id="117"/>
      <w:r>
        <w:rPr>
          <w:rFonts w:eastAsia="SimSun"/>
        </w:rPr>
        <w:br w:type="page"/>
      </w:r>
      <w:r>
        <w:rPr>
          <w:rFonts w:eastAsia="SimSun"/>
        </w:rPr>
        <w:lastRenderedPageBreak/>
        <w:t>Schedule 1</w:t>
      </w:r>
    </w:p>
    <w:p w14:paraId="0F9CB236" w14:textId="77777777" w:rsidR="006D3CD6" w:rsidRDefault="00777A6F">
      <w:pPr>
        <w:pStyle w:val="Subtitle"/>
        <w:widowControl/>
        <w:rPr>
          <w:rFonts w:eastAsia="SimSun"/>
        </w:rPr>
      </w:pPr>
      <w:bookmarkStart w:id="118" w:name="_DV_M67"/>
      <w:bookmarkEnd w:id="118"/>
      <w:r>
        <w:rPr>
          <w:rFonts w:eastAsia="SimSun"/>
        </w:rPr>
        <w:t>Assumptions</w:t>
      </w:r>
    </w:p>
    <w:p w14:paraId="096D7D30" w14:textId="181607DC" w:rsidR="006D3CD6" w:rsidRDefault="00777A6F" w:rsidP="006D3CD6">
      <w:pPr>
        <w:pStyle w:val="Level1"/>
        <w:widowControl/>
        <w:numPr>
          <w:ilvl w:val="0"/>
          <w:numId w:val="14"/>
        </w:numPr>
        <w:rPr>
          <w:rFonts w:eastAsia="SimSun"/>
        </w:rPr>
      </w:pPr>
      <w:bookmarkStart w:id="119" w:name="_DV_M68"/>
      <w:bookmarkEnd w:id="119"/>
      <w:r>
        <w:rPr>
          <w:rFonts w:eastAsia="SimSun"/>
        </w:rPr>
        <w:t>All dates, signatures, seals and duty markings are authentic.</w:t>
      </w:r>
      <w:bookmarkStart w:id="120" w:name="_Hlk219110234"/>
      <w:r>
        <w:rPr>
          <w:rStyle w:val="EndnoteReference"/>
          <w:rFonts w:eastAsia="SimSun"/>
        </w:rPr>
        <w:endnoteReference w:id="25"/>
      </w:r>
      <w:bookmarkEnd w:id="120"/>
    </w:p>
    <w:p w14:paraId="48685D6C" w14:textId="77777777" w:rsidR="006D3CD6" w:rsidRDefault="00777A6F">
      <w:pPr>
        <w:pStyle w:val="Level1"/>
        <w:widowControl/>
        <w:rPr>
          <w:rFonts w:eastAsia="SimSun"/>
        </w:rPr>
      </w:pPr>
      <w:bookmarkStart w:id="121" w:name="_DV_M69"/>
      <w:bookmarkEnd w:id="121"/>
      <w:r>
        <w:rPr>
          <w:rFonts w:eastAsia="SimSun"/>
        </w:rPr>
        <w:t>If we have reviewed a copy of a document, it is a correct and complete copy of the original.</w:t>
      </w:r>
    </w:p>
    <w:p w14:paraId="66D4E0E8" w14:textId="77777777" w:rsidR="006D3CD6" w:rsidRDefault="00777A6F">
      <w:pPr>
        <w:pStyle w:val="Level1"/>
        <w:widowControl/>
        <w:rPr>
          <w:rFonts w:eastAsia="SimSun"/>
        </w:rPr>
      </w:pPr>
      <w:bookmarkStart w:id="122" w:name="_DV_M70"/>
      <w:bookmarkEnd w:id="122"/>
      <w:r>
        <w:rPr>
          <w:rFonts w:eastAsia="SimSun"/>
        </w:rPr>
        <w:t>If we have reviewed only a draft of a document, it has been or will be executed in the form of that draft.</w:t>
      </w:r>
    </w:p>
    <w:p w14:paraId="021A7D57" w14:textId="74DDF491" w:rsidR="001F4F7E" w:rsidRPr="00ED1E1F" w:rsidRDefault="00777A6F" w:rsidP="00ED1E1F">
      <w:pPr>
        <w:pStyle w:val="Level1"/>
        <w:widowControl/>
        <w:rPr>
          <w:rFonts w:eastAsia="SimSun"/>
        </w:rPr>
      </w:pPr>
      <w:bookmarkStart w:id="123" w:name="_DV_M71"/>
      <w:bookmarkEnd w:id="123"/>
      <w:r>
        <w:rPr>
          <w:rFonts w:eastAsia="SimSun"/>
        </w:rPr>
        <w:t>The Agreement has not been amended, released or terminated.</w:t>
      </w:r>
    </w:p>
    <w:p w14:paraId="17A86B25" w14:textId="2893EEB5" w:rsidR="006D3CD6" w:rsidRDefault="00777A6F">
      <w:pPr>
        <w:pStyle w:val="Level1"/>
        <w:widowControl/>
        <w:rPr>
          <w:rFonts w:eastAsia="SimSun"/>
        </w:rPr>
      </w:pPr>
      <w:bookmarkStart w:id="124" w:name="_DV_M72"/>
      <w:bookmarkEnd w:id="124"/>
      <w:r>
        <w:rPr>
          <w:rFonts w:eastAsia="SimSun"/>
        </w:rPr>
        <w:t xml:space="preserve">No person has engaged or will engage in unconscionable, misleading or deceptive conduct (by act or omission) that might make any part of this opinion incorrect.  No person has engaged or will engage in any other conduct, and there are no facts or circumstances not evident from the face of the documents listed in paragraph </w:t>
      </w:r>
      <w:r>
        <w:rPr>
          <w:rFonts w:eastAsia="SimSun"/>
        </w:rPr>
        <w:fldChar w:fldCharType="begin"/>
      </w:r>
      <w:r>
        <w:rPr>
          <w:rFonts w:eastAsia="SimSun"/>
        </w:rPr>
        <w:instrText xml:space="preserve"> REF _Ref419732542 \w \h </w:instrText>
      </w:r>
      <w:r>
        <w:rPr>
          <w:rFonts w:eastAsia="SimSun"/>
        </w:rPr>
      </w:r>
      <w:r>
        <w:rPr>
          <w:rFonts w:eastAsia="SimSun"/>
        </w:rPr>
        <w:fldChar w:fldCharType="separate"/>
      </w:r>
      <w:r w:rsidR="0003457F">
        <w:rPr>
          <w:rFonts w:eastAsia="SimSun"/>
          <w:cs/>
        </w:rPr>
        <w:t>‎</w:t>
      </w:r>
      <w:r w:rsidR="0003457F">
        <w:rPr>
          <w:rFonts w:eastAsia="SimSun"/>
        </w:rPr>
        <w:t>2</w:t>
      </w:r>
      <w:r>
        <w:rPr>
          <w:rFonts w:eastAsia="SimSun"/>
        </w:rPr>
        <w:fldChar w:fldCharType="end"/>
      </w:r>
      <w:r>
        <w:rPr>
          <w:rFonts w:eastAsia="SimSun"/>
        </w:rPr>
        <w:t xml:space="preserve"> of this opinion, that might make any part of this opinion incorrect [including, without limitation, whether the Agreement or a transaction in connection with it will:</w:t>
      </w:r>
    </w:p>
    <w:p w14:paraId="3323361F" w14:textId="2CCCFA01" w:rsidR="006D3CD6" w:rsidRDefault="00777A6F" w:rsidP="006D3CD6">
      <w:pPr>
        <w:pStyle w:val="Levela"/>
        <w:widowControl/>
        <w:tabs>
          <w:tab w:val="clear" w:pos="2564"/>
          <w:tab w:val="num" w:pos="1440"/>
        </w:tabs>
        <w:ind w:left="1440"/>
        <w:rPr>
          <w:rFonts w:eastAsia="SimSun"/>
        </w:rPr>
      </w:pPr>
      <w:bookmarkStart w:id="125" w:name="_DV_M73"/>
      <w:bookmarkEnd w:id="125"/>
      <w:r>
        <w:rPr>
          <w:rFonts w:eastAsia="SimSun"/>
        </w:rPr>
        <w:t>financially assist a person to acquire shares in [the / an] Obligor (or a holding company of [the/ an] Obligor) in contravention of section 260A</w:t>
      </w:r>
      <w:r>
        <w:rPr>
          <w:rFonts w:eastAsia="SimSun"/>
          <w:i/>
          <w:iCs/>
        </w:rPr>
        <w:t xml:space="preserve"> </w:t>
      </w:r>
      <w:r>
        <w:rPr>
          <w:rFonts w:eastAsia="SimSun"/>
        </w:rPr>
        <w:t>of the Corporations Act; or</w:t>
      </w:r>
    </w:p>
    <w:p w14:paraId="68E00845" w14:textId="29557B69" w:rsidR="006D3CD6" w:rsidRDefault="00777A6F" w:rsidP="006D3CD6">
      <w:pPr>
        <w:pStyle w:val="Levela"/>
        <w:widowControl/>
        <w:tabs>
          <w:tab w:val="clear" w:pos="2564"/>
          <w:tab w:val="num" w:pos="1440"/>
        </w:tabs>
        <w:ind w:left="1440"/>
        <w:rPr>
          <w:rFonts w:eastAsia="SimSun"/>
        </w:rPr>
      </w:pPr>
      <w:bookmarkStart w:id="126" w:name="_DV_M74"/>
      <w:bookmarkEnd w:id="126"/>
      <w:r>
        <w:rPr>
          <w:rFonts w:eastAsia="SimSun"/>
        </w:rPr>
        <w:t>constitute a financial benefit to a related party of [the /an] Obligor in contravention of Chapter 2E of the Corporations Act</w:t>
      </w:r>
      <w:bookmarkStart w:id="127" w:name="_DV_M75"/>
      <w:bookmarkStart w:id="128" w:name="_DV_C85"/>
      <w:bookmarkEnd w:id="127"/>
      <w:r w:rsidRPr="00CD4A32">
        <w:rPr>
          <w:rFonts w:eastAsia="SimSun"/>
        </w:rPr>
        <w:t>]</w:t>
      </w:r>
      <w:r>
        <w:rPr>
          <w:rFonts w:eastAsia="SimSun"/>
        </w:rPr>
        <w:t>.</w:t>
      </w:r>
      <w:r>
        <w:rPr>
          <w:rStyle w:val="EndnoteReference"/>
          <w:rFonts w:eastAsia="SimSun"/>
        </w:rPr>
        <w:endnoteReference w:id="26"/>
      </w:r>
      <w:bookmarkEnd w:id="128"/>
    </w:p>
    <w:p w14:paraId="75AA2411" w14:textId="77777777" w:rsidR="006D3CD6" w:rsidRDefault="00777A6F">
      <w:pPr>
        <w:pStyle w:val="Level1"/>
        <w:widowControl/>
        <w:rPr>
          <w:rFonts w:eastAsia="SimSun"/>
        </w:rPr>
      </w:pPr>
      <w:bookmarkStart w:id="129" w:name="_DV_M76"/>
      <w:bookmarkEnd w:id="129"/>
      <w:r>
        <w:rPr>
          <w:rFonts w:eastAsia="SimSun"/>
        </w:rPr>
        <w:t>[The / Each] Obligor [other than [the / a] Trustee Obligor] enters into the Agreement in its personal capacity, and not as trustee or agent or in any other capacity.</w:t>
      </w:r>
    </w:p>
    <w:p w14:paraId="1B369AB0" w14:textId="77777777" w:rsidR="006D3CD6" w:rsidRDefault="00777A6F" w:rsidP="006D3CD6">
      <w:pPr>
        <w:pStyle w:val="Level1"/>
        <w:widowControl/>
        <w:autoSpaceDE/>
        <w:autoSpaceDN/>
        <w:adjustRightInd/>
      </w:pPr>
      <w:bookmarkStart w:id="130" w:name="_Ref428450544"/>
      <w:r>
        <w:t>[In relation to [the / each] Trustee Obligor:</w:t>
      </w:r>
      <w:bookmarkEnd w:id="130"/>
    </w:p>
    <w:p w14:paraId="18D904D1" w14:textId="77777777" w:rsidR="006D3CD6" w:rsidRDefault="00777A6F" w:rsidP="006D3CD6">
      <w:pPr>
        <w:pStyle w:val="Levela"/>
        <w:tabs>
          <w:tab w:val="clear" w:pos="2564"/>
          <w:tab w:val="num" w:pos="1440"/>
        </w:tabs>
        <w:ind w:left="1440"/>
      </w:pPr>
      <w:r>
        <w:t xml:space="preserve">its Trust has been established and </w:t>
      </w:r>
      <w:proofErr w:type="gramStart"/>
      <w:r>
        <w:t>continues at all times</w:t>
      </w:r>
      <w:proofErr w:type="gramEnd"/>
      <w:r>
        <w:t xml:space="preserve"> in full force and effect, and no action has been taken to terminate it;</w:t>
      </w:r>
    </w:p>
    <w:p w14:paraId="589A8637" w14:textId="77777777" w:rsidR="006D3CD6" w:rsidRDefault="00777A6F" w:rsidP="006D3CD6">
      <w:pPr>
        <w:pStyle w:val="Levela"/>
        <w:tabs>
          <w:tab w:val="clear" w:pos="2564"/>
          <w:tab w:val="num" w:pos="1440"/>
        </w:tabs>
        <w:ind w:left="1440"/>
      </w:pPr>
      <w:r>
        <w:t xml:space="preserve">it </w:t>
      </w:r>
      <w:r w:rsidRPr="00E701D7">
        <w:t xml:space="preserve">has been </w:t>
      </w:r>
      <w:r>
        <w:t xml:space="preserve">and </w:t>
      </w:r>
      <w:proofErr w:type="gramStart"/>
      <w:r>
        <w:t>remains at all times</w:t>
      </w:r>
      <w:proofErr w:type="gramEnd"/>
      <w:r>
        <w:t xml:space="preserve"> </w:t>
      </w:r>
      <w:r w:rsidRPr="00E701D7">
        <w:t xml:space="preserve">validly appointed as trustee of </w:t>
      </w:r>
      <w:r>
        <w:t>its</w:t>
      </w:r>
      <w:r w:rsidRPr="00E701D7">
        <w:t xml:space="preserve"> Trust and </w:t>
      </w:r>
      <w:r>
        <w:t>is the only trustee of its Trust;</w:t>
      </w:r>
    </w:p>
    <w:p w14:paraId="3B1BBFFA" w14:textId="77777777" w:rsidR="006D3CD6" w:rsidRDefault="00777A6F" w:rsidP="006D3CD6">
      <w:pPr>
        <w:pStyle w:val="Levela"/>
        <w:tabs>
          <w:tab w:val="clear" w:pos="2564"/>
          <w:tab w:val="num" w:pos="1440"/>
        </w:tabs>
        <w:ind w:left="1440"/>
      </w:pPr>
      <w:r>
        <w:t xml:space="preserve">its Trust Deed discloses </w:t>
      </w:r>
      <w:proofErr w:type="gramStart"/>
      <w:r>
        <w:t>all of</w:t>
      </w:r>
      <w:proofErr w:type="gramEnd"/>
      <w:r>
        <w:t xml:space="preserve"> the terms of its Trust (other than those implied by law) and has been duly stamped;</w:t>
      </w:r>
    </w:p>
    <w:p w14:paraId="32A0A50D" w14:textId="77777777" w:rsidR="006D3CD6" w:rsidRDefault="00777A6F" w:rsidP="006D3CD6">
      <w:pPr>
        <w:pStyle w:val="Levela"/>
        <w:tabs>
          <w:tab w:val="clear" w:pos="2564"/>
          <w:tab w:val="num" w:pos="1440"/>
        </w:tabs>
        <w:ind w:left="1440"/>
      </w:pPr>
      <w:r>
        <w:t xml:space="preserve">none of its rights or powers as trustee (including, </w:t>
      </w:r>
      <w:r>
        <w:rPr>
          <w:rFonts w:eastAsia="SimSun"/>
        </w:rPr>
        <w:t>without limitation,</w:t>
      </w:r>
      <w:r>
        <w:t xml:space="preserve"> its indemnity and lien) have been or will be prejudicially affected in any way; </w:t>
      </w:r>
    </w:p>
    <w:p w14:paraId="57E8A549" w14:textId="77777777" w:rsidR="006D3CD6" w:rsidRDefault="00777A6F" w:rsidP="006D3CD6">
      <w:pPr>
        <w:pStyle w:val="Levela"/>
        <w:tabs>
          <w:tab w:val="clear" w:pos="2564"/>
          <w:tab w:val="num" w:pos="1418"/>
        </w:tabs>
        <w:ind w:left="2127" w:hanging="1407"/>
      </w:pPr>
      <w:r>
        <w:fldChar w:fldCharType="begin"/>
      </w:r>
      <w:r>
        <w:instrText xml:space="preserve"> LISTNUM </w:instrText>
      </w:r>
      <w:r>
        <w:fldChar w:fldCharType="end"/>
      </w:r>
      <w:r>
        <w:tab/>
        <w:t>its Verification Certificate is true and complete; and</w:t>
      </w:r>
    </w:p>
    <w:p w14:paraId="1319B8E4" w14:textId="77777777" w:rsidR="006D3CD6" w:rsidRDefault="00777A6F" w:rsidP="006D3CD6">
      <w:pPr>
        <w:pStyle w:val="Leveli"/>
      </w:pPr>
      <w:r>
        <w:t>to the extent not evident in its Verification Certificate:</w:t>
      </w:r>
    </w:p>
    <w:p w14:paraId="5CD6AE5C" w14:textId="77777777" w:rsidR="006D3CD6" w:rsidRDefault="00777A6F" w:rsidP="006D3CD6">
      <w:pPr>
        <w:pStyle w:val="Heading6"/>
      </w:pPr>
      <w:r>
        <w:t>everything necessary has been done for proper completion of the requirements referred to in it; and</w:t>
      </w:r>
    </w:p>
    <w:p w14:paraId="32EBEDB8" w14:textId="77777777" w:rsidR="006D3CD6" w:rsidRPr="001161E5" w:rsidRDefault="00777A6F" w:rsidP="006D3CD6">
      <w:pPr>
        <w:pStyle w:val="Heading6"/>
        <w:rPr>
          <w:rFonts w:eastAsia="SimSun"/>
        </w:rPr>
      </w:pPr>
      <w:r w:rsidRPr="001161E5">
        <w:rPr>
          <w:rFonts w:eastAsia="SimSun"/>
        </w:rPr>
        <w:t xml:space="preserve">all other requirements under </w:t>
      </w:r>
      <w:r>
        <w:rPr>
          <w:rFonts w:eastAsia="SimSun"/>
        </w:rPr>
        <w:t>its</w:t>
      </w:r>
      <w:r w:rsidRPr="001161E5">
        <w:rPr>
          <w:rFonts w:eastAsia="SimSun"/>
        </w:rPr>
        <w:t xml:space="preserve"> Trust Deed or elsewhere</w:t>
      </w:r>
      <w:r>
        <w:rPr>
          <w:rFonts w:eastAsia="SimSun"/>
        </w:rPr>
        <w:t xml:space="preserve"> </w:t>
      </w:r>
      <w:r w:rsidRPr="001161E5">
        <w:rPr>
          <w:rFonts w:eastAsia="SimSun"/>
        </w:rPr>
        <w:t xml:space="preserve">have been properly completed for </w:t>
      </w:r>
      <w:r>
        <w:rPr>
          <w:rFonts w:eastAsia="SimSun"/>
        </w:rPr>
        <w:t>the Trustee Obligor</w:t>
      </w:r>
      <w:r w:rsidRPr="001161E5">
        <w:rPr>
          <w:rFonts w:eastAsia="SimSun"/>
        </w:rPr>
        <w:t xml:space="preserve"> to </w:t>
      </w:r>
      <w:proofErr w:type="gramStart"/>
      <w:r w:rsidRPr="001161E5">
        <w:rPr>
          <w:rFonts w:eastAsia="SimSun"/>
        </w:rPr>
        <w:t>enter into</w:t>
      </w:r>
      <w:proofErr w:type="gramEnd"/>
      <w:r w:rsidRPr="001161E5">
        <w:rPr>
          <w:rFonts w:eastAsia="SimSun"/>
        </w:rPr>
        <w:t xml:space="preserve"> and perform</w:t>
      </w:r>
      <w:r>
        <w:rPr>
          <w:rFonts w:eastAsia="SimSun"/>
        </w:rPr>
        <w:t xml:space="preserve"> its obligations under</w:t>
      </w:r>
      <w:r w:rsidRPr="001161E5">
        <w:rPr>
          <w:rFonts w:eastAsia="SimSun"/>
        </w:rPr>
        <w:t xml:space="preserve"> the Agreement, exercise its rights under the Agreement, and conduct the transactions contemplated by the Agreement;</w:t>
      </w:r>
    </w:p>
    <w:p w14:paraId="200B6DB5" w14:textId="77777777" w:rsidR="006D3CD6" w:rsidRDefault="00777A6F" w:rsidP="006D3CD6">
      <w:pPr>
        <w:pStyle w:val="Levela"/>
        <w:tabs>
          <w:tab w:val="clear" w:pos="2564"/>
          <w:tab w:val="num" w:pos="1440"/>
        </w:tabs>
        <w:ind w:left="1440"/>
        <w:rPr>
          <w:rFonts w:eastAsia="SimSun"/>
        </w:rPr>
      </w:pPr>
      <w:r>
        <w:rPr>
          <w:rFonts w:eastAsia="SimSun"/>
        </w:rPr>
        <w:t xml:space="preserve">its entry into, exercise of rights under, and performance of its obligations under, the Agreement and its conduct of the transactions contemplated by </w:t>
      </w:r>
      <w:r>
        <w:rPr>
          <w:rFonts w:eastAsia="SimSun"/>
        </w:rPr>
        <w:lastRenderedPageBreak/>
        <w:t>the Agreement are, and will be, in proper performance of its duties and obligations as trustee (including, without limitation, under statute); [and]</w:t>
      </w:r>
    </w:p>
    <w:p w14:paraId="717C85A1" w14:textId="77777777" w:rsidR="006D3CD6" w:rsidRDefault="00777A6F" w:rsidP="006D3CD6">
      <w:pPr>
        <w:pStyle w:val="Levela"/>
        <w:tabs>
          <w:tab w:val="clear" w:pos="2564"/>
          <w:tab w:val="num" w:pos="1440"/>
        </w:tabs>
        <w:ind w:left="1440"/>
        <w:rPr>
          <w:rFonts w:eastAsia="SimSun"/>
        </w:rPr>
      </w:pPr>
      <w:r>
        <w:rPr>
          <w:rFonts w:eastAsia="SimSun"/>
        </w:rPr>
        <w:t>it will exercise its rights under the Agreement, and conduct the transactions contemplated by it, in accordance with its powers as trustee</w:t>
      </w:r>
      <w:r>
        <w:rPr>
          <w:rStyle w:val="EndnoteReference"/>
          <w:rFonts w:eastAsia="SimSun"/>
        </w:rPr>
        <w:endnoteReference w:id="27"/>
      </w:r>
      <w:r>
        <w:rPr>
          <w:rFonts w:eastAsia="SimSun"/>
        </w:rPr>
        <w:t xml:space="preserve"> </w:t>
      </w:r>
      <w:proofErr w:type="gramStart"/>
      <w:r>
        <w:rPr>
          <w:rFonts w:eastAsia="SimSun"/>
        </w:rPr>
        <w:t>[;and</w:t>
      </w:r>
      <w:proofErr w:type="gramEnd"/>
      <w:r>
        <w:rPr>
          <w:rFonts w:eastAsia="SimSun"/>
        </w:rPr>
        <w:t>]</w:t>
      </w:r>
    </w:p>
    <w:p w14:paraId="511F5943" w14:textId="77777777" w:rsidR="006D3CD6" w:rsidRDefault="00777A6F" w:rsidP="006D3CD6">
      <w:pPr>
        <w:pStyle w:val="Levela"/>
        <w:tabs>
          <w:tab w:val="clear" w:pos="2564"/>
          <w:tab w:val="num" w:pos="1418"/>
        </w:tabs>
        <w:ind w:left="1418" w:hanging="709"/>
        <w:rPr>
          <w:rFonts w:eastAsia="SimSun"/>
        </w:rPr>
      </w:pPr>
      <w:r>
        <w:rPr>
          <w:rFonts w:eastAsia="SimSun"/>
        </w:rPr>
        <w:t>its Trust is not required to be registered as a managed investment scheme under the Corporations Act].</w:t>
      </w:r>
      <w:bookmarkStart w:id="131" w:name="_Ref403401541"/>
      <w:r>
        <w:rPr>
          <w:rStyle w:val="EndnoteReference"/>
          <w:rFonts w:eastAsia="SimSun"/>
        </w:rPr>
        <w:endnoteReference w:id="28"/>
      </w:r>
      <w:bookmarkEnd w:id="131"/>
    </w:p>
    <w:p w14:paraId="3AB04F35" w14:textId="073C884A" w:rsidR="006D3CD6" w:rsidRPr="00DA50A6" w:rsidRDefault="00777A6F" w:rsidP="006D3CD6">
      <w:pPr>
        <w:pStyle w:val="Levela"/>
        <w:numPr>
          <w:ilvl w:val="0"/>
          <w:numId w:val="0"/>
        </w:numPr>
        <w:ind w:left="720"/>
        <w:rPr>
          <w:rFonts w:eastAsia="SimSun"/>
        </w:rPr>
      </w:pPr>
      <w:r>
        <w:t xml:space="preserve">Nothing on the face of the documents listed in paragraph </w:t>
      </w:r>
      <w:r>
        <w:fldChar w:fldCharType="begin"/>
      </w:r>
      <w:r>
        <w:instrText xml:space="preserve"> REF _Ref419732542 \w \h </w:instrText>
      </w:r>
      <w:r>
        <w:fldChar w:fldCharType="separate"/>
      </w:r>
      <w:r w:rsidR="0003457F">
        <w:rPr>
          <w:cs/>
        </w:rPr>
        <w:t>‎</w:t>
      </w:r>
      <w:r w:rsidR="0003457F">
        <w:t>2</w:t>
      </w:r>
      <w:r>
        <w:fldChar w:fldCharType="end"/>
      </w:r>
      <w:r>
        <w:t xml:space="preserve"> of this opinion contradicts any </w:t>
      </w:r>
      <w:r w:rsidRPr="00A71F52">
        <w:t>of</w:t>
      </w:r>
      <w:r>
        <w:t xml:space="preserve"> these assumptions, </w:t>
      </w:r>
      <w:r w:rsidRPr="008A7666">
        <w:t xml:space="preserve">but we have not verified that </w:t>
      </w:r>
      <w:r>
        <w:t xml:space="preserve">[the / each] </w:t>
      </w:r>
      <w:r w:rsidRPr="008A7666">
        <w:t>Trust Deed has been duly stamped</w:t>
      </w:r>
      <w:r>
        <w:t xml:space="preserve">.] </w:t>
      </w:r>
    </w:p>
    <w:p w14:paraId="18DB855D" w14:textId="196C28BF" w:rsidR="006D3CD6" w:rsidRDefault="00777A6F">
      <w:pPr>
        <w:pStyle w:val="Level1"/>
        <w:widowControl/>
        <w:rPr>
          <w:rFonts w:eastAsia="SimSun"/>
        </w:rPr>
      </w:pPr>
      <w:bookmarkStart w:id="132" w:name="_DV_M77"/>
      <w:bookmarkStart w:id="133" w:name="_Ref419732717"/>
      <w:bookmarkStart w:id="134" w:name="_Ref428437115"/>
      <w:bookmarkEnd w:id="132"/>
      <w:r>
        <w:rPr>
          <w:rFonts w:eastAsia="SimSun"/>
        </w:rPr>
        <w:t xml:space="preserve">Each of the assumptions set out in section 129 of the Corporations Act is correct in relation to the </w:t>
      </w:r>
      <w:proofErr w:type="gramStart"/>
      <w:r>
        <w:rPr>
          <w:rFonts w:eastAsia="SimSun"/>
        </w:rPr>
        <w:t>Agreement[</w:t>
      </w:r>
      <w:proofErr w:type="gramEnd"/>
      <w:r>
        <w:rPr>
          <w:rFonts w:eastAsia="SimSun"/>
        </w:rPr>
        <w:t>, [the / each] Power of Attorney] and [the / each] Obligor.</w:t>
      </w:r>
      <w:bookmarkEnd w:id="133"/>
      <w:r>
        <w:rPr>
          <w:rStyle w:val="EndnoteReference"/>
        </w:rPr>
        <w:endnoteReference w:id="29"/>
      </w:r>
      <w:bookmarkEnd w:id="134"/>
    </w:p>
    <w:p w14:paraId="389803D9" w14:textId="77777777" w:rsidR="006D3CD6" w:rsidRDefault="00777A6F">
      <w:pPr>
        <w:pStyle w:val="Level1"/>
        <w:widowControl/>
        <w:rPr>
          <w:rFonts w:eastAsia="SimSun"/>
        </w:rPr>
      </w:pPr>
      <w:bookmarkStart w:id="135" w:name="_DV_M78"/>
      <w:bookmarkStart w:id="136" w:name="_Ref220924008"/>
      <w:bookmarkEnd w:id="135"/>
      <w:r>
        <w:rPr>
          <w:rFonts w:eastAsia="SimSun"/>
        </w:rPr>
        <w:t>[[The / Each] person who executed the Agreement on behalf of [the /an] Obligor held the position they purported to hold.  [The Power of Attorney has not/No Power of Attorney has] been amended or revoked.</w:t>
      </w:r>
      <w:bookmarkStart w:id="137" w:name="_DV_C89"/>
      <w:r>
        <w:rPr>
          <w:rStyle w:val="EndnoteReference"/>
          <w:rFonts w:eastAsia="SimSun"/>
        </w:rPr>
        <w:endnoteReference w:id="30"/>
      </w:r>
      <w:bookmarkEnd w:id="137"/>
      <w:r>
        <w:rPr>
          <w:rFonts w:eastAsia="SimSun"/>
        </w:rPr>
        <w:t>]</w:t>
      </w:r>
      <w:bookmarkEnd w:id="136"/>
    </w:p>
    <w:p w14:paraId="3AD8651D" w14:textId="528CDAE0" w:rsidR="006D3CD6" w:rsidRDefault="00777A6F">
      <w:pPr>
        <w:pStyle w:val="Level1"/>
        <w:widowControl/>
        <w:rPr>
          <w:rFonts w:eastAsia="SimSun"/>
        </w:rPr>
      </w:pPr>
      <w:bookmarkStart w:id="138" w:name="_DV_M79"/>
      <w:bookmarkEnd w:id="138"/>
      <w:r>
        <w:rPr>
          <w:rFonts w:eastAsia="SimSun"/>
        </w:rPr>
        <w:t>[The authorisations listed in paragraph</w:t>
      </w:r>
      <w:bookmarkStart w:id="139" w:name="_DV_M82"/>
      <w:bookmarkEnd w:id="139"/>
      <w:r w:rsidR="00D22068" w:rsidRPr="00D22068">
        <w:rPr>
          <w:rFonts w:eastAsia="SimSun"/>
        </w:rPr>
        <w:t xml:space="preserve"> </w:t>
      </w:r>
      <w:r w:rsidR="00D22068">
        <w:rPr>
          <w:rFonts w:eastAsia="SimSun"/>
        </w:rPr>
        <w:fldChar w:fldCharType="begin"/>
      </w:r>
      <w:r w:rsidR="00D22068">
        <w:rPr>
          <w:rFonts w:eastAsia="SimSun"/>
        </w:rPr>
        <w:instrText xml:space="preserve"> REF _Ref213764241 \w \h </w:instrText>
      </w:r>
      <w:r w:rsidR="00D22068">
        <w:rPr>
          <w:rFonts w:eastAsia="SimSun"/>
        </w:rPr>
      </w:r>
      <w:r w:rsidR="00D22068">
        <w:rPr>
          <w:rFonts w:eastAsia="SimSun"/>
        </w:rPr>
        <w:fldChar w:fldCharType="separate"/>
      </w:r>
      <w:r w:rsidR="0003457F">
        <w:rPr>
          <w:rFonts w:eastAsia="SimSun"/>
          <w:cs/>
        </w:rPr>
        <w:t>‎</w:t>
      </w:r>
      <w:r w:rsidR="0003457F">
        <w:rPr>
          <w:rFonts w:eastAsia="SimSun"/>
        </w:rPr>
        <w:t>2(f)</w:t>
      </w:r>
      <w:r w:rsidR="00D22068">
        <w:rPr>
          <w:rFonts w:eastAsia="SimSun"/>
        </w:rPr>
        <w:fldChar w:fldCharType="end"/>
      </w:r>
      <w:r>
        <w:rPr>
          <w:rFonts w:eastAsia="SimSun"/>
        </w:rPr>
        <w:t>] remain in effect.]</w:t>
      </w:r>
    </w:p>
    <w:p w14:paraId="1AABD5BD" w14:textId="77777777" w:rsidR="006D3CD6" w:rsidRDefault="00777A6F">
      <w:pPr>
        <w:pStyle w:val="Level1"/>
        <w:widowControl/>
        <w:rPr>
          <w:rFonts w:eastAsia="SimSun"/>
        </w:rPr>
      </w:pPr>
      <w:bookmarkStart w:id="140" w:name="_DV_M83"/>
      <w:bookmarkEnd w:id="140"/>
      <w:r>
        <w:rPr>
          <w:rFonts w:eastAsia="SimSun"/>
        </w:rPr>
        <w:t>The Agreement:</w:t>
      </w:r>
    </w:p>
    <w:p w14:paraId="4D338315" w14:textId="77777777" w:rsidR="006D3CD6" w:rsidRDefault="00777A6F" w:rsidP="006D3CD6">
      <w:pPr>
        <w:pStyle w:val="Levela"/>
        <w:widowControl/>
        <w:tabs>
          <w:tab w:val="clear" w:pos="2564"/>
          <w:tab w:val="num" w:pos="1440"/>
        </w:tabs>
        <w:ind w:left="1440"/>
        <w:rPr>
          <w:rFonts w:eastAsia="SimSun"/>
        </w:rPr>
      </w:pPr>
      <w:bookmarkStart w:id="141" w:name="_DV_M84"/>
      <w:bookmarkEnd w:id="141"/>
      <w:r>
        <w:rPr>
          <w:rFonts w:eastAsia="SimSun"/>
        </w:rPr>
        <w:t xml:space="preserve">has been or will be validly authorised and </w:t>
      </w:r>
      <w:proofErr w:type="gramStart"/>
      <w:r>
        <w:rPr>
          <w:rFonts w:eastAsia="SimSun"/>
        </w:rPr>
        <w:t>entered into</w:t>
      </w:r>
      <w:proofErr w:type="gramEnd"/>
      <w:r>
        <w:rPr>
          <w:rFonts w:eastAsia="SimSun"/>
        </w:rPr>
        <w:t xml:space="preserve"> by each party to it other than [the / an] Obligor, and is binding on each such party under all applicable laws; and</w:t>
      </w:r>
    </w:p>
    <w:p w14:paraId="4C38AB26" w14:textId="77777777" w:rsidR="006D3CD6" w:rsidRDefault="00777A6F" w:rsidP="006D3CD6">
      <w:pPr>
        <w:pStyle w:val="Levela"/>
        <w:widowControl/>
        <w:tabs>
          <w:tab w:val="clear" w:pos="2564"/>
          <w:tab w:val="num" w:pos="1440"/>
        </w:tabs>
        <w:ind w:left="1440"/>
        <w:rPr>
          <w:rFonts w:eastAsia="SimSun"/>
        </w:rPr>
      </w:pPr>
      <w:bookmarkStart w:id="142" w:name="_DV_M85"/>
      <w:bookmarkEnd w:id="142"/>
      <w:r>
        <w:rPr>
          <w:rFonts w:eastAsia="SimSun"/>
        </w:rPr>
        <w:t>is binding on [the / each] Obligor under all applicable laws other than the laws of the Relevant Jurisdictions.</w:t>
      </w:r>
    </w:p>
    <w:p w14:paraId="350AA793" w14:textId="77777777" w:rsidR="006D3CD6" w:rsidRDefault="00777A6F">
      <w:pPr>
        <w:pStyle w:val="Level1"/>
        <w:widowControl/>
        <w:rPr>
          <w:rFonts w:eastAsia="SimSun"/>
        </w:rPr>
      </w:pPr>
      <w:bookmarkStart w:id="143" w:name="_DV_M86"/>
      <w:bookmarkEnd w:id="143"/>
      <w:r>
        <w:rPr>
          <w:rFonts w:eastAsia="SimSun"/>
        </w:rPr>
        <w:t>If the Agreement is to be performed in a jurisdiction other than [</w:t>
      </w:r>
      <w:r w:rsidRPr="008702D6">
        <w:rPr>
          <w:rFonts w:eastAsia="SimSun"/>
          <w:b/>
          <w:bCs/>
          <w:i/>
          <w:iCs/>
        </w:rPr>
        <w:t>list states / territories</w:t>
      </w:r>
      <w:r>
        <w:rPr>
          <w:rFonts w:eastAsia="SimSun"/>
        </w:rPr>
        <w:t>], its performance will not be illegal under the laws of that jurisdiction.</w:t>
      </w:r>
    </w:p>
    <w:p w14:paraId="74CB72EA" w14:textId="77777777" w:rsidR="006D3CD6" w:rsidRDefault="00777A6F">
      <w:pPr>
        <w:pStyle w:val="Level1"/>
        <w:widowControl/>
        <w:rPr>
          <w:rFonts w:eastAsia="SimSun"/>
        </w:rPr>
      </w:pPr>
      <w:bookmarkStart w:id="144" w:name="_DV_M87"/>
      <w:bookmarkEnd w:id="144"/>
      <w:r>
        <w:rPr>
          <w:rFonts w:eastAsia="SimSun"/>
        </w:rPr>
        <w:t xml:space="preserve">[The / Each] Obligor was solvent when and immediately after it entered </w:t>
      </w:r>
      <w:r>
        <w:t>into the Agreement</w:t>
      </w:r>
      <w:r>
        <w:rPr>
          <w:rFonts w:eastAsia="SimSun"/>
        </w:rPr>
        <w:t>.</w:t>
      </w:r>
      <w:r>
        <w:rPr>
          <w:rStyle w:val="EndnoteReference"/>
        </w:rPr>
        <w:endnoteReference w:id="31"/>
      </w:r>
      <w:r>
        <w:rPr>
          <w:rFonts w:eastAsia="SimSun"/>
        </w:rPr>
        <w:t xml:space="preserve"> </w:t>
      </w:r>
    </w:p>
    <w:p w14:paraId="3C0463E8" w14:textId="064391DB" w:rsidR="006D3CD6" w:rsidRPr="005101B3" w:rsidRDefault="00777A6F">
      <w:pPr>
        <w:pStyle w:val="Level1"/>
        <w:widowControl/>
        <w:rPr>
          <w:rFonts w:eastAsia="SimSun"/>
        </w:rPr>
      </w:pPr>
      <w:bookmarkStart w:id="145" w:name="_DV_M88"/>
      <w:bookmarkStart w:id="146" w:name="_Hlk219111505"/>
      <w:bookmarkEnd w:id="145"/>
      <w:r w:rsidRPr="005101B3">
        <w:t>No industry code (including without limitation, the</w:t>
      </w:r>
      <w:r w:rsidRPr="005101B3">
        <w:rPr>
          <w:rFonts w:eastAsia="SimSun"/>
        </w:rPr>
        <w:t xml:space="preserve"> </w:t>
      </w:r>
      <w:r w:rsidRPr="005101B3">
        <w:t xml:space="preserve">Banking Code of Practice </w:t>
      </w:r>
      <w:r w:rsidRPr="005101B3">
        <w:rPr>
          <w:rFonts w:eastAsia="SimSun"/>
        </w:rPr>
        <w:t>of</w:t>
      </w:r>
      <w:bookmarkEnd w:id="146"/>
      <w:r w:rsidRPr="005101B3">
        <w:rPr>
          <w:rFonts w:eastAsia="SimSun"/>
        </w:rPr>
        <w:t xml:space="preserve"> the Australian Bank</w:t>
      </w:r>
      <w:r w:rsidR="00524045">
        <w:rPr>
          <w:rFonts w:eastAsia="SimSun"/>
        </w:rPr>
        <w:t>ing</w:t>
      </w:r>
      <w:r w:rsidRPr="005101B3">
        <w:rPr>
          <w:rFonts w:eastAsia="SimSun"/>
        </w:rPr>
        <w:t xml:space="preserve"> Association) </w:t>
      </w:r>
      <w:r w:rsidR="006D52DE" w:rsidRPr="005101B3">
        <w:rPr>
          <w:rFonts w:eastAsia="SimSun"/>
        </w:rPr>
        <w:t>applies</w:t>
      </w:r>
      <w:r w:rsidRPr="005101B3">
        <w:rPr>
          <w:rFonts w:eastAsia="SimSun"/>
        </w:rPr>
        <w:t xml:space="preserve"> to the Agreement.</w:t>
      </w:r>
      <w:bookmarkStart w:id="147" w:name="_Hlk219111567"/>
      <w:r w:rsidRPr="005101B3">
        <w:rPr>
          <w:rStyle w:val="EndnoteReference"/>
          <w:rFonts w:eastAsia="SimSun"/>
        </w:rPr>
        <w:endnoteReference w:id="32"/>
      </w:r>
      <w:bookmarkEnd w:id="147"/>
    </w:p>
    <w:p w14:paraId="0F79A083" w14:textId="0527338D" w:rsidR="004926FA" w:rsidRPr="005101B3" w:rsidRDefault="00777A6F" w:rsidP="006D3CD6">
      <w:pPr>
        <w:pStyle w:val="Level1"/>
        <w:widowControl/>
        <w:autoSpaceDE/>
        <w:autoSpaceDN/>
        <w:adjustRightInd/>
        <w:rPr>
          <w:b/>
        </w:rPr>
      </w:pPr>
      <w:bookmarkStart w:id="148" w:name="_Hlk219111584"/>
      <w:r w:rsidRPr="005101B3">
        <w:t>Each party to the Agreement who carries on a financial service</w:t>
      </w:r>
      <w:r w:rsidR="00BF66BC" w:rsidRPr="005101B3">
        <w:t>s business in Australia and</w:t>
      </w:r>
      <w:r w:rsidRPr="005101B3">
        <w:t xml:space="preserve"> in connection with the Agreement has complied with its obligations in that regard under the Corporations Act.</w:t>
      </w:r>
      <w:r w:rsidR="005A7FC5" w:rsidRPr="005101B3">
        <w:rPr>
          <w:rStyle w:val="EndnoteReference"/>
        </w:rPr>
        <w:t xml:space="preserve"> </w:t>
      </w:r>
      <w:r w:rsidR="005A7FC5" w:rsidRPr="005101B3">
        <w:rPr>
          <w:rStyle w:val="EndnoteReference"/>
        </w:rPr>
        <w:endnoteReference w:id="33"/>
      </w:r>
      <w:r w:rsidR="00352089" w:rsidRPr="005101B3">
        <w:rPr>
          <w:b/>
          <w:bCs/>
          <w:i/>
          <w:iCs/>
        </w:rPr>
        <w:t xml:space="preserve"> </w:t>
      </w:r>
    </w:p>
    <w:bookmarkEnd w:id="148"/>
    <w:p w14:paraId="105F811E" w14:textId="76457E57" w:rsidR="008B1087" w:rsidRPr="005101B3" w:rsidRDefault="00777A6F" w:rsidP="00CC066C">
      <w:pPr>
        <w:pStyle w:val="Level1"/>
        <w:widowControl/>
        <w:autoSpaceDE/>
        <w:autoSpaceDN/>
        <w:adjustRightInd/>
      </w:pPr>
      <w:r w:rsidRPr="005101B3">
        <w:t xml:space="preserve">Any </w:t>
      </w:r>
      <w:r w:rsidRPr="005101B3">
        <w:rPr>
          <w:rFonts w:eastAsia="SimSun"/>
        </w:rPr>
        <w:t>stamp</w:t>
      </w:r>
      <w:r w:rsidRPr="005101B3">
        <w:t xml:space="preserve"> duty or other documentary tax in connection with the Agreement has been or will be paid.</w:t>
      </w:r>
      <w:r w:rsidRPr="005101B3">
        <w:rPr>
          <w:rStyle w:val="EndnoteReference"/>
        </w:rPr>
        <w:endnoteReference w:id="34"/>
      </w:r>
    </w:p>
    <w:p w14:paraId="2D767B7A" w14:textId="01562704" w:rsidR="00CC066C" w:rsidRPr="00586AAC" w:rsidRDefault="00777A6F" w:rsidP="000B7307">
      <w:pPr>
        <w:pStyle w:val="Level1"/>
        <w:widowControl/>
        <w:autoSpaceDE/>
        <w:autoSpaceDN/>
        <w:adjustRightInd/>
      </w:pPr>
      <w:bookmarkStart w:id="149" w:name="_Hlk219111596"/>
      <w:r w:rsidRPr="005101B3">
        <w:t>[Any attestation or statement by a witness is timely and accurate</w:t>
      </w:r>
      <w:r w:rsidR="00BF66BC" w:rsidRPr="005101B3">
        <w:t xml:space="preserve"> </w:t>
      </w:r>
      <w:r w:rsidR="00BF66BC" w:rsidRPr="005101B3">
        <w:rPr>
          <w:lang w:val="en-GB"/>
        </w:rPr>
        <w:t>and the witness observed the signatory signing</w:t>
      </w:r>
      <w:r w:rsidRPr="005101B3">
        <w:t>.]</w:t>
      </w:r>
      <w:r w:rsidRPr="005101B3">
        <w:rPr>
          <w:rStyle w:val="EndnoteReference"/>
        </w:rPr>
        <w:endnoteReference w:id="35"/>
      </w:r>
    </w:p>
    <w:p w14:paraId="16526499" w14:textId="77777777" w:rsidR="006D3CD6" w:rsidRPr="008D73E7" w:rsidRDefault="00777A6F" w:rsidP="006D3CD6">
      <w:pPr>
        <w:pStyle w:val="sch4"/>
        <w:widowControl/>
        <w:numPr>
          <w:ilvl w:val="0"/>
          <w:numId w:val="0"/>
        </w:numPr>
        <w:rPr>
          <w:rFonts w:eastAsia="SimSun"/>
          <w:b/>
          <w:bCs/>
          <w:sz w:val="36"/>
          <w:szCs w:val="36"/>
        </w:rPr>
      </w:pPr>
      <w:bookmarkStart w:id="150" w:name="_DV_M89"/>
      <w:bookmarkEnd w:id="149"/>
      <w:bookmarkEnd w:id="150"/>
      <w:r>
        <w:rPr>
          <w:rFonts w:eastAsia="SimSun"/>
        </w:rPr>
        <w:t xml:space="preserve">We have not taken any step to investigate whether the assumptions in this opinion are correct, except as expressly stated in this opinion.  However, without making any enquiries beyond the steps stated in this opinion, the people primarily responsible for the preparation of this opinion (being </w:t>
      </w:r>
      <w:r w:rsidRPr="008702D6">
        <w:rPr>
          <w:rFonts w:eastAsia="SimSun"/>
        </w:rPr>
        <w:t>[</w:t>
      </w:r>
      <w:r w:rsidRPr="008702D6">
        <w:rPr>
          <w:rFonts w:eastAsia="SimSun"/>
          <w:b/>
          <w:bCs/>
          <w:i/>
          <w:iCs/>
        </w:rPr>
        <w:t>insert names of relevant individuals</w:t>
      </w:r>
      <w:r w:rsidRPr="008702D6">
        <w:rPr>
          <w:rFonts w:eastAsia="SimSun"/>
        </w:rPr>
        <w:t>]</w:t>
      </w:r>
      <w:r>
        <w:rPr>
          <w:rFonts w:eastAsia="SimSun"/>
        </w:rPr>
        <w:t>) are not actually aware that any of the assumptions are incorrect.</w:t>
      </w:r>
      <w:bookmarkStart w:id="151" w:name="_DV_C104"/>
      <w:r>
        <w:rPr>
          <w:rStyle w:val="EndnoteReference"/>
          <w:rFonts w:eastAsia="SimSun"/>
        </w:rPr>
        <w:endnoteReference w:id="36"/>
      </w:r>
      <w:bookmarkStart w:id="152" w:name="_DV_M91"/>
      <w:bookmarkEnd w:id="151"/>
      <w:bookmarkEnd w:id="152"/>
      <w:r>
        <w:rPr>
          <w:rFonts w:eastAsia="SimSun"/>
          <w:b/>
          <w:bCs/>
        </w:rPr>
        <w:br w:type="page"/>
      </w:r>
      <w:r w:rsidRPr="008D73E7">
        <w:rPr>
          <w:rFonts w:eastAsia="SimSun"/>
          <w:b/>
          <w:bCs/>
          <w:sz w:val="36"/>
          <w:szCs w:val="36"/>
        </w:rPr>
        <w:lastRenderedPageBreak/>
        <w:t>Schedule 2</w:t>
      </w:r>
    </w:p>
    <w:p w14:paraId="71E9FC06" w14:textId="77777777" w:rsidR="006D3CD6" w:rsidRDefault="00777A6F">
      <w:pPr>
        <w:pStyle w:val="Subtitle"/>
        <w:widowControl/>
        <w:rPr>
          <w:rFonts w:eastAsia="SimSun"/>
          <w:b w:val="0"/>
          <w:bCs w:val="0"/>
        </w:rPr>
      </w:pPr>
      <w:bookmarkStart w:id="153" w:name="_DV_M92"/>
      <w:bookmarkEnd w:id="153"/>
      <w:r>
        <w:rPr>
          <w:rFonts w:eastAsia="SimSun"/>
        </w:rPr>
        <w:t>Qualifications</w:t>
      </w:r>
      <w:bookmarkStart w:id="154" w:name="_DV_C108"/>
      <w:r>
        <w:rPr>
          <w:rStyle w:val="EndnoteReference"/>
          <w:rFonts w:eastAsia="SimSun"/>
        </w:rPr>
        <w:endnoteReference w:id="37"/>
      </w:r>
      <w:bookmarkEnd w:id="154"/>
    </w:p>
    <w:p w14:paraId="38766618" w14:textId="77777777" w:rsidR="006D3CD6" w:rsidRDefault="00777A6F" w:rsidP="006D3CD6">
      <w:pPr>
        <w:pStyle w:val="Level1"/>
        <w:widowControl/>
        <w:numPr>
          <w:ilvl w:val="0"/>
          <w:numId w:val="15"/>
        </w:numPr>
        <w:rPr>
          <w:rFonts w:eastAsia="SimSun"/>
        </w:rPr>
      </w:pPr>
      <w:bookmarkStart w:id="156" w:name="_DV_M93"/>
      <w:bookmarkStart w:id="157" w:name="_Ref428443507"/>
      <w:bookmarkEnd w:id="156"/>
      <w:r>
        <w:rPr>
          <w:rFonts w:eastAsia="SimSun"/>
        </w:rPr>
        <w:t xml:space="preserve">A statement that an obligation is "binding" or "enforceable" means that the obligation is of a type and form that courts of the Relevant Jurisdictions will generally enforce.  It does not mean that the obligation </w:t>
      </w:r>
      <w:r>
        <w:t xml:space="preserve">and </w:t>
      </w:r>
      <w:r>
        <w:rPr>
          <w:color w:val="000000"/>
        </w:rPr>
        <w:t xml:space="preserve">the rights of a creditor with respect to it can be enforced, or that the obligation </w:t>
      </w:r>
      <w:r>
        <w:rPr>
          <w:rFonts w:eastAsia="SimSun"/>
        </w:rPr>
        <w:t>is binding, in all circumstances.  For example:</w:t>
      </w:r>
      <w:bookmarkEnd w:id="157"/>
    </w:p>
    <w:p w14:paraId="3137808F" w14:textId="77777777" w:rsidR="006D3CD6" w:rsidRDefault="00777A6F" w:rsidP="006D3CD6">
      <w:pPr>
        <w:pStyle w:val="Levela"/>
        <w:widowControl/>
        <w:tabs>
          <w:tab w:val="clear" w:pos="2564"/>
          <w:tab w:val="num" w:pos="1440"/>
        </w:tabs>
        <w:ind w:left="1440"/>
        <w:rPr>
          <w:rFonts w:eastAsia="SimSun"/>
        </w:rPr>
      </w:pPr>
      <w:bookmarkStart w:id="158" w:name="_DV_M94"/>
      <w:bookmarkEnd w:id="158"/>
      <w:r>
        <w:rPr>
          <w:rFonts w:eastAsia="SimSun"/>
        </w:rPr>
        <w:t>equitable remedies, such as injunction and specific performance, are discretionary;</w:t>
      </w:r>
    </w:p>
    <w:p w14:paraId="394BBF9F" w14:textId="77777777" w:rsidR="006D3CD6" w:rsidRDefault="00777A6F" w:rsidP="006D3CD6">
      <w:pPr>
        <w:pStyle w:val="Levela"/>
        <w:widowControl/>
        <w:tabs>
          <w:tab w:val="clear" w:pos="2564"/>
          <w:tab w:val="num" w:pos="1440"/>
        </w:tabs>
        <w:ind w:left="1440"/>
        <w:rPr>
          <w:rFonts w:eastAsia="SimSun"/>
        </w:rPr>
      </w:pPr>
      <w:bookmarkStart w:id="159" w:name="_DV_M95"/>
      <w:bookmarkStart w:id="160" w:name="_Ref428437134"/>
      <w:bookmarkEnd w:id="159"/>
      <w:r>
        <w:rPr>
          <w:rFonts w:eastAsia="SimSun"/>
        </w:rPr>
        <w:t xml:space="preserve">an obligation </w:t>
      </w:r>
      <w:r>
        <w:rPr>
          <w:color w:val="000000"/>
        </w:rPr>
        <w:t xml:space="preserve">and the rights of a creditor with respect to it </w:t>
      </w:r>
      <w:r>
        <w:rPr>
          <w:rFonts w:eastAsia="SimSun"/>
        </w:rPr>
        <w:t xml:space="preserve">may be affected by laws relating to insolvency </w:t>
      </w:r>
      <w:r w:rsidRPr="00E7089A">
        <w:t>(including</w:t>
      </w:r>
      <w:r>
        <w:t>, without limitation,</w:t>
      </w:r>
      <w:r w:rsidRPr="00E7089A">
        <w:t xml:space="preserve"> administration) </w:t>
      </w:r>
      <w:r>
        <w:rPr>
          <w:rFonts w:eastAsia="SimSun"/>
        </w:rPr>
        <w:t>or other laws that affect creditors' rights generally; and</w:t>
      </w:r>
      <w:bookmarkEnd w:id="160"/>
    </w:p>
    <w:p w14:paraId="2A031027" w14:textId="77777777" w:rsidR="006D3CD6" w:rsidRDefault="00777A6F" w:rsidP="006D3CD6">
      <w:pPr>
        <w:pStyle w:val="Levela"/>
        <w:widowControl/>
        <w:tabs>
          <w:tab w:val="clear" w:pos="2564"/>
          <w:tab w:val="num" w:pos="1440"/>
        </w:tabs>
        <w:ind w:left="1440"/>
        <w:rPr>
          <w:rFonts w:eastAsia="SimSun"/>
        </w:rPr>
      </w:pPr>
      <w:bookmarkStart w:id="161" w:name="_DV_M96"/>
      <w:bookmarkEnd w:id="161"/>
      <w:r>
        <w:rPr>
          <w:rFonts w:eastAsia="SimSun"/>
        </w:rPr>
        <w:t xml:space="preserve">an obligation </w:t>
      </w:r>
      <w:r>
        <w:rPr>
          <w:color w:val="000000"/>
        </w:rPr>
        <w:t xml:space="preserve">and the rights of a creditor with respect to it </w:t>
      </w:r>
      <w:r>
        <w:rPr>
          <w:rFonts w:eastAsia="SimSun"/>
        </w:rPr>
        <w:t>may be affected by general law doctrines or statutory relief in relation to matters such as fraud, misrepresentation, mistake, duress, unconscionable conduct, unfair contracts legislation, frustration, estoppel, waiver, lapse of time, penalties, courts retaining their ability to adjudicate, public policy or illegality.</w:t>
      </w:r>
      <w:bookmarkStart w:id="162" w:name="_DV_C112"/>
      <w:r>
        <w:rPr>
          <w:rStyle w:val="EndnoteReference"/>
          <w:rFonts w:eastAsia="SimSun"/>
        </w:rPr>
        <w:endnoteReference w:id="38"/>
      </w:r>
      <w:bookmarkEnd w:id="162"/>
    </w:p>
    <w:p w14:paraId="528F7664" w14:textId="77777777" w:rsidR="006D3CD6" w:rsidRDefault="00777A6F">
      <w:pPr>
        <w:pStyle w:val="Level1"/>
        <w:widowControl/>
        <w:rPr>
          <w:rFonts w:eastAsia="SimSun"/>
        </w:rPr>
      </w:pPr>
      <w:bookmarkStart w:id="163" w:name="_DV_M97"/>
      <w:bookmarkStart w:id="164" w:name="_DV_M98"/>
      <w:bookmarkEnd w:id="163"/>
      <w:bookmarkEnd w:id="164"/>
      <w:r>
        <w:rPr>
          <w:rFonts w:eastAsia="SimSun"/>
        </w:rPr>
        <w:t>A court might decline to exercise jurisdiction, for example if it considers that it is not the most appropriate forum or if the subject matter is concurrently before another court.</w:t>
      </w:r>
    </w:p>
    <w:p w14:paraId="64BDCC71" w14:textId="77777777" w:rsidR="006D3CD6" w:rsidRDefault="00777A6F">
      <w:pPr>
        <w:pStyle w:val="Level1"/>
        <w:widowControl/>
        <w:rPr>
          <w:rFonts w:eastAsia="SimSun"/>
        </w:rPr>
      </w:pPr>
      <w:bookmarkStart w:id="165" w:name="_DV_M99"/>
      <w:bookmarkEnd w:id="165"/>
      <w:r>
        <w:rPr>
          <w:rFonts w:eastAsia="SimSun"/>
        </w:rPr>
        <w:t>The laws of the Relevant Jurisdictions may require that parties act reasonably or in good faith in their dealings with each other, including, without limitation, in exercising rights, powers or discretions or forming opinions.</w:t>
      </w:r>
    </w:p>
    <w:p w14:paraId="6058FD64" w14:textId="480D8496" w:rsidR="006D3CD6" w:rsidRDefault="00777A6F" w:rsidP="006D3CD6">
      <w:pPr>
        <w:pStyle w:val="Level1"/>
        <w:widowControl/>
        <w:rPr>
          <w:rFonts w:eastAsia="SimSun"/>
        </w:rPr>
      </w:pPr>
      <w:bookmarkStart w:id="166" w:name="_DV_M100"/>
      <w:bookmarkStart w:id="167" w:name="_Ref322684019"/>
      <w:bookmarkEnd w:id="166"/>
      <w:r>
        <w:rPr>
          <w:rFonts w:eastAsia="SimSun"/>
        </w:rPr>
        <w:t xml:space="preserve">[As [the / each] Obligor’s obligations under the Agreement are intended to be unsecured, we express no opinion as to whether any security interest that may be granted under the Agreement is attached, enforceable against third parties or perfected, in each case for the purposes of the </w:t>
      </w:r>
      <w:r>
        <w:rPr>
          <w:rFonts w:eastAsia="SimSun"/>
          <w:i/>
          <w:iCs/>
        </w:rPr>
        <w:t>Personal Property Securities Act 2009</w:t>
      </w:r>
      <w:r>
        <w:rPr>
          <w:rFonts w:eastAsia="SimSun"/>
        </w:rPr>
        <w:t xml:space="preserve"> (</w:t>
      </w:r>
      <w:proofErr w:type="spellStart"/>
      <w:r>
        <w:rPr>
          <w:rFonts w:eastAsia="SimSun"/>
        </w:rPr>
        <w:t>Cth</w:t>
      </w:r>
      <w:proofErr w:type="spellEnd"/>
      <w:r>
        <w:rPr>
          <w:rFonts w:eastAsia="SimSun"/>
        </w:rPr>
        <w:t>).]</w:t>
      </w:r>
      <w:bookmarkEnd w:id="167"/>
    </w:p>
    <w:p w14:paraId="50FDC636" w14:textId="77777777" w:rsidR="006D3CD6" w:rsidRDefault="00777A6F">
      <w:pPr>
        <w:pStyle w:val="Level1"/>
        <w:widowControl/>
        <w:rPr>
          <w:rFonts w:eastAsia="SimSun"/>
        </w:rPr>
      </w:pPr>
      <w:bookmarkStart w:id="168" w:name="_DV_M102"/>
      <w:bookmarkEnd w:id="168"/>
      <w:r>
        <w:rPr>
          <w:rFonts w:eastAsia="SimSun"/>
        </w:rPr>
        <w:t>We express no opinion in relation to any provision of the Agreement that requires a person to do or not do something that is not clearly identified in the provision, or to comply with another document.</w:t>
      </w:r>
      <w:bookmarkStart w:id="169" w:name="_DV_C124"/>
      <w:r>
        <w:rPr>
          <w:rStyle w:val="EndnoteReference"/>
          <w:rFonts w:eastAsia="SimSun"/>
        </w:rPr>
        <w:endnoteReference w:id="39"/>
      </w:r>
      <w:bookmarkEnd w:id="169"/>
      <w:r>
        <w:rPr>
          <w:rFonts w:eastAsia="SimSun"/>
        </w:rPr>
        <w:t xml:space="preserve"> </w:t>
      </w:r>
    </w:p>
    <w:p w14:paraId="5A66D5C7" w14:textId="466C753D" w:rsidR="00043A35" w:rsidRPr="00043A35" w:rsidRDefault="00777A6F" w:rsidP="001C5B71">
      <w:pPr>
        <w:pStyle w:val="Level1"/>
        <w:widowControl/>
        <w:rPr>
          <w:rFonts w:eastAsia="SimSun"/>
          <w:lang w:val="en-GB"/>
        </w:rPr>
      </w:pPr>
      <w:bookmarkStart w:id="170" w:name="_Ref149706918"/>
      <w:r w:rsidRPr="00D650A5">
        <w:t>Laws in connection with sanctions, terrorism or money laundering may restrict or prohibit payments, transactions and dealings in certain cases</w:t>
      </w:r>
      <w:bookmarkEnd w:id="170"/>
      <w:r>
        <w:t>.</w:t>
      </w:r>
    </w:p>
    <w:p w14:paraId="78E42A8A" w14:textId="01A74852" w:rsidR="00F50980" w:rsidRPr="00F50980" w:rsidRDefault="009007A9" w:rsidP="00A41260">
      <w:pPr>
        <w:pStyle w:val="Level1"/>
        <w:widowControl/>
        <w:rPr>
          <w:b/>
          <w:bCs/>
          <w:i/>
          <w:iCs/>
        </w:rPr>
      </w:pPr>
      <w:bookmarkStart w:id="171" w:name="_Ref213770562"/>
      <w:bookmarkStart w:id="172" w:name="_Ref213677509"/>
      <w:bookmarkStart w:id="173" w:name="_Hlk219111675"/>
      <w:bookmarkStart w:id="174" w:name="_Ref435108145"/>
      <w:r>
        <w:rPr>
          <w:rStyle w:val="EndnoteReference"/>
        </w:rPr>
        <w:endnoteReference w:id="40"/>
      </w:r>
      <w:r w:rsidR="00777A6F">
        <w:t>[</w:t>
      </w:r>
      <w:r w:rsidR="00033C02">
        <w:t xml:space="preserve">For the </w:t>
      </w:r>
      <w:r w:rsidR="00A54FBA">
        <w:t>purposes</w:t>
      </w:r>
      <w:r w:rsidR="0008424A">
        <w:t xml:space="preserve"> of this </w:t>
      </w:r>
      <w:r w:rsidR="00F36828">
        <w:t>opinion</w:t>
      </w:r>
      <w:r w:rsidR="000D3CEE">
        <w:t xml:space="preserve">, </w:t>
      </w:r>
      <w:r w:rsidR="00F36828">
        <w:t>w</w:t>
      </w:r>
      <w:r w:rsidR="00777A6F">
        <w:t xml:space="preserve">e have not </w:t>
      </w:r>
      <w:r w:rsidR="000D5326">
        <w:t xml:space="preserve">been instructed to </w:t>
      </w:r>
      <w:r w:rsidR="00653872">
        <w:t>opine</w:t>
      </w:r>
      <w:r w:rsidR="00653872" w:rsidDel="000D5326">
        <w:t xml:space="preserve"> </w:t>
      </w:r>
      <w:r w:rsidR="00221671">
        <w:t xml:space="preserve">on </w:t>
      </w:r>
      <w:r w:rsidR="00777A6F">
        <w:t xml:space="preserve">whether </w:t>
      </w:r>
      <w:r w:rsidR="006660FA">
        <w:t>UCT</w:t>
      </w:r>
      <w:r w:rsidR="00777A6F">
        <w:t xml:space="preserve"> </w:t>
      </w:r>
      <w:r w:rsidR="00DB2BB6">
        <w:t>laws apply</w:t>
      </w:r>
      <w:r w:rsidR="00777A6F">
        <w:t xml:space="preserve"> to the Agreement </w:t>
      </w:r>
      <w:r w:rsidR="00171B82">
        <w:t xml:space="preserve">or the consequences if </w:t>
      </w:r>
      <w:r w:rsidR="00DB2BB6">
        <w:t>they</w:t>
      </w:r>
      <w:r w:rsidR="00171B82">
        <w:t xml:space="preserve"> do apply</w:t>
      </w:r>
      <w:r w:rsidR="00777A6F">
        <w:t>.]</w:t>
      </w:r>
      <w:bookmarkStart w:id="175" w:name="_Ref213678255"/>
      <w:bookmarkStart w:id="176" w:name="_Ref215691925"/>
      <w:r w:rsidR="00777A6F">
        <w:rPr>
          <w:rStyle w:val="EndnoteReference"/>
        </w:rPr>
        <w:endnoteReference w:id="41"/>
      </w:r>
      <w:bookmarkEnd w:id="171"/>
      <w:bookmarkEnd w:id="175"/>
      <w:bookmarkEnd w:id="176"/>
      <w:r w:rsidR="005A7FC5">
        <w:t xml:space="preserve"> </w:t>
      </w:r>
      <w:bookmarkEnd w:id="172"/>
      <w:r w:rsidR="00F50980">
        <w:t xml:space="preserve"> </w:t>
      </w:r>
    </w:p>
    <w:p w14:paraId="56B453DB" w14:textId="4F116A69" w:rsidR="00194619" w:rsidRDefault="00F50980" w:rsidP="00194619">
      <w:pPr>
        <w:pStyle w:val="Level1"/>
        <w:numPr>
          <w:ilvl w:val="0"/>
          <w:numId w:val="0"/>
        </w:numPr>
        <w:ind w:left="720"/>
        <w:rPr>
          <w:b/>
          <w:bCs/>
        </w:rPr>
      </w:pPr>
      <w:r w:rsidRPr="00F50980">
        <w:rPr>
          <w:b/>
          <w:bCs/>
        </w:rPr>
        <w:t>OR</w:t>
      </w:r>
    </w:p>
    <w:p w14:paraId="632966B6" w14:textId="4DF50BCC" w:rsidR="00194619" w:rsidRDefault="00194619" w:rsidP="00194619">
      <w:pPr>
        <w:pStyle w:val="Level1fo"/>
      </w:pPr>
      <w:r>
        <w:t>[</w:t>
      </w:r>
      <w:r w:rsidR="00653872">
        <w:t>W</w:t>
      </w:r>
      <w:r>
        <w:t>e express no opinion on whether UCT laws apply to the Agreement or the consequences if they do apply</w:t>
      </w:r>
      <w:r w:rsidR="00653872">
        <w:t xml:space="preserve"> (however we have provided separate advice to the addressee in that regard)</w:t>
      </w:r>
      <w:r>
        <w:t>.]</w:t>
      </w:r>
      <w:bookmarkStart w:id="177" w:name="_Ref215692632"/>
      <w:r w:rsidR="002162BF">
        <w:rPr>
          <w:rStyle w:val="EndnoteReference"/>
        </w:rPr>
        <w:endnoteReference w:id="42"/>
      </w:r>
      <w:bookmarkEnd w:id="177"/>
    </w:p>
    <w:p w14:paraId="47EF3692" w14:textId="45BC7ED8" w:rsidR="00194619" w:rsidRPr="00194619" w:rsidRDefault="00194619" w:rsidP="00194619">
      <w:pPr>
        <w:pStyle w:val="Level1"/>
        <w:numPr>
          <w:ilvl w:val="0"/>
          <w:numId w:val="0"/>
        </w:numPr>
        <w:ind w:left="720"/>
        <w:rPr>
          <w:b/>
          <w:bCs/>
        </w:rPr>
      </w:pPr>
      <w:r w:rsidRPr="00F50980">
        <w:rPr>
          <w:b/>
          <w:bCs/>
        </w:rPr>
        <w:t>OR</w:t>
      </w:r>
    </w:p>
    <w:p w14:paraId="4B09B64B" w14:textId="68E34F47" w:rsidR="00C24A40" w:rsidRPr="00C24A40" w:rsidRDefault="00C24A40" w:rsidP="00F82C33">
      <w:pPr>
        <w:pStyle w:val="Level1"/>
        <w:numPr>
          <w:ilvl w:val="0"/>
          <w:numId w:val="0"/>
        </w:numPr>
        <w:ind w:left="720"/>
        <w:rPr>
          <w:rFonts w:eastAsia="SimSun"/>
        </w:rPr>
      </w:pPr>
      <w:bookmarkStart w:id="178" w:name="_Ref213678086"/>
      <w:r w:rsidRPr="00C24A40">
        <w:rPr>
          <w:rFonts w:eastAsia="SimSun"/>
        </w:rPr>
        <w:t xml:space="preserve">[UCT </w:t>
      </w:r>
      <w:r w:rsidR="00DB2BB6">
        <w:rPr>
          <w:rFonts w:eastAsia="SimSun"/>
        </w:rPr>
        <w:t xml:space="preserve">laws are </w:t>
      </w:r>
      <w:r w:rsidRPr="00C24A40">
        <w:rPr>
          <w:rFonts w:eastAsia="SimSun"/>
        </w:rPr>
        <w:t xml:space="preserve">extremely broad and many aspects of </w:t>
      </w:r>
      <w:r w:rsidR="00C86910">
        <w:rPr>
          <w:rFonts w:eastAsia="SimSun"/>
        </w:rPr>
        <w:t>their</w:t>
      </w:r>
      <w:r w:rsidRPr="00C24A40">
        <w:rPr>
          <w:rFonts w:eastAsia="SimSun"/>
        </w:rPr>
        <w:t xml:space="preserve"> application and operation are uncertain, subjective and can be difficult to predict. </w:t>
      </w:r>
      <w:bookmarkEnd w:id="178"/>
    </w:p>
    <w:p w14:paraId="427725FA" w14:textId="12C2DFDC" w:rsidR="00EC1B36" w:rsidRPr="00EC1B36" w:rsidRDefault="00C24A40" w:rsidP="00EC1B36">
      <w:pPr>
        <w:pStyle w:val="ListBullet5"/>
        <w:numPr>
          <w:ilvl w:val="0"/>
          <w:numId w:val="0"/>
        </w:numPr>
        <w:ind w:left="720"/>
        <w:outlineLvl w:val="0"/>
      </w:pPr>
      <w:r w:rsidRPr="00C24A40">
        <w:rPr>
          <w:rFonts w:eastAsia="SimSun"/>
        </w:rPr>
        <w:t xml:space="preserve">There is relatively little contested judicial authority from courts in the Relevant Jurisdictions on UCT </w:t>
      </w:r>
      <w:r w:rsidR="00DB2BB6">
        <w:rPr>
          <w:rFonts w:eastAsia="SimSun"/>
        </w:rPr>
        <w:t xml:space="preserve">laws </w:t>
      </w:r>
      <w:r w:rsidRPr="00C24A40">
        <w:rPr>
          <w:rFonts w:eastAsia="SimSun"/>
        </w:rPr>
        <w:t xml:space="preserve">in a small business context. Accordingly, a court in the Relevant Jurisdiction may take a different view on the application and operation of </w:t>
      </w:r>
      <w:r>
        <w:rPr>
          <w:rFonts w:eastAsia="SimSun"/>
        </w:rPr>
        <w:t xml:space="preserve">UCT </w:t>
      </w:r>
      <w:proofErr w:type="gramStart"/>
      <w:r w:rsidR="00DB2BB6">
        <w:rPr>
          <w:rFonts w:eastAsia="SimSun"/>
        </w:rPr>
        <w:t>laws</w:t>
      </w:r>
      <w:r w:rsidRPr="00C24A40">
        <w:rPr>
          <w:rFonts w:eastAsia="SimSun"/>
        </w:rPr>
        <w:t>, or</w:t>
      </w:r>
      <w:proofErr w:type="gramEnd"/>
      <w:r w:rsidRPr="00C24A40">
        <w:rPr>
          <w:rFonts w:eastAsia="SimSun"/>
        </w:rPr>
        <w:t xml:space="preserve"> come to a different conclusion on the facts.]</w:t>
      </w:r>
      <w:bookmarkStart w:id="179" w:name="_Ref213678120"/>
      <w:r w:rsidR="007F3A5B">
        <w:rPr>
          <w:rStyle w:val="EndnoteReference"/>
          <w:rFonts w:eastAsia="SimSun"/>
        </w:rPr>
        <w:endnoteReference w:id="43"/>
      </w:r>
      <w:bookmarkEnd w:id="179"/>
      <w:r w:rsidR="001F5195">
        <w:rPr>
          <w:rFonts w:eastAsia="SimSun"/>
        </w:rPr>
        <w:t xml:space="preserve">  </w:t>
      </w:r>
    </w:p>
    <w:bookmarkEnd w:id="173"/>
    <w:p w14:paraId="31CE7FDC" w14:textId="37B5BB13" w:rsidR="00EE1336" w:rsidRPr="00043A35" w:rsidRDefault="000C09A3" w:rsidP="00EE1336">
      <w:pPr>
        <w:pStyle w:val="Level1"/>
        <w:widowControl/>
        <w:rPr>
          <w:rFonts w:eastAsia="SimSun"/>
          <w:lang w:val="en-GB"/>
        </w:rPr>
      </w:pPr>
      <w:r w:rsidRPr="005127C6">
        <w:rPr>
          <w:lang w:val="en-GB"/>
        </w:rPr>
        <w:lastRenderedPageBreak/>
        <w:t xml:space="preserve">We </w:t>
      </w:r>
      <w:r w:rsidRPr="005127C6">
        <w:t>express no opinion on whether competition law applies or what the consequences are if it does apply</w:t>
      </w:r>
      <w:r w:rsidR="00EE1336" w:rsidRPr="00043A35">
        <w:rPr>
          <w:lang w:val="en-GB"/>
        </w:rPr>
        <w:t>.</w:t>
      </w:r>
      <w:r w:rsidR="00EE1336">
        <w:rPr>
          <w:rStyle w:val="EndnoteReference"/>
        </w:rPr>
        <w:endnoteReference w:id="44"/>
      </w:r>
    </w:p>
    <w:p w14:paraId="72F2027F" w14:textId="49DA7003" w:rsidR="006D3CD6" w:rsidRDefault="00777A6F" w:rsidP="006D3CD6">
      <w:pPr>
        <w:pStyle w:val="ListBullet5"/>
        <w:numPr>
          <w:ilvl w:val="0"/>
          <w:numId w:val="12"/>
        </w:numPr>
        <w:outlineLvl w:val="0"/>
      </w:pPr>
      <w:r>
        <w:t xml:space="preserve">An unsecured </w:t>
      </w:r>
      <w:proofErr w:type="spellStart"/>
      <w:r>
        <w:t>creditor’s</w:t>
      </w:r>
      <w:proofErr w:type="spellEnd"/>
      <w:r>
        <w:t xml:space="preserve"> right of recourse to trust assets in relation to [the/a] Trustee Obligor’s liability depends on the Trustee Obligor’s right of indemnity and lien over those assets, </w:t>
      </w:r>
      <w:r w:rsidRPr="00F91B23">
        <w:t xml:space="preserve">for </w:t>
      </w:r>
      <w:r>
        <w:t>l</w:t>
      </w:r>
      <w:r w:rsidRPr="00F91B23">
        <w:t>iabilities</w:t>
      </w:r>
      <w:r>
        <w:t xml:space="preserve"> properly incurred by the Trustee Obligor</w:t>
      </w:r>
      <w:r w:rsidRPr="00720FFC">
        <w:t xml:space="preserve"> (and </w:t>
      </w:r>
      <w:r>
        <w:t xml:space="preserve">that </w:t>
      </w:r>
      <w:r w:rsidRPr="00720FFC">
        <w:t xml:space="preserve">creditor’s </w:t>
      </w:r>
      <w:r>
        <w:t xml:space="preserve">ability to be subrogated to that </w:t>
      </w:r>
      <w:r w:rsidRPr="00720FFC">
        <w:t>right of indemnity</w:t>
      </w:r>
      <w:r>
        <w:t xml:space="preserve"> and lien</w:t>
      </w:r>
      <w:r w:rsidRPr="00720FFC">
        <w:t>)</w:t>
      </w:r>
      <w:r>
        <w:t>.  In particular:</w:t>
      </w:r>
      <w:bookmarkEnd w:id="174"/>
      <w:r>
        <w:t xml:space="preserve"> </w:t>
      </w:r>
    </w:p>
    <w:p w14:paraId="4956C27D" w14:textId="77777777" w:rsidR="006D3CD6" w:rsidRDefault="00777A6F" w:rsidP="006D3CD6">
      <w:pPr>
        <w:pStyle w:val="Levela"/>
        <w:tabs>
          <w:tab w:val="clear" w:pos="2564"/>
          <w:tab w:val="num" w:pos="1440"/>
        </w:tabs>
        <w:ind w:left="1440"/>
      </w:pPr>
      <w:r>
        <w:t>the indemnity and lien are subject to the Trustee Obligor first making good any breaches of trust or duty even if those breaches are unrelated to the transactions contemplated by the Agreement; and</w:t>
      </w:r>
    </w:p>
    <w:p w14:paraId="20701519" w14:textId="77777777" w:rsidR="006D3CD6" w:rsidRDefault="00777A6F" w:rsidP="006D3CD6">
      <w:pPr>
        <w:pStyle w:val="Levela"/>
        <w:tabs>
          <w:tab w:val="clear" w:pos="2564"/>
          <w:tab w:val="num" w:pos="1440"/>
        </w:tabs>
        <w:ind w:left="1440"/>
      </w:pPr>
      <w:r>
        <w:t xml:space="preserve">a </w:t>
      </w:r>
      <w:r w:rsidRPr="00C252CA">
        <w:t>creditor</w:t>
      </w:r>
      <w:r>
        <w:t xml:space="preserve"> may not be able to be subrogated in all circumstances.</w:t>
      </w:r>
      <w:r>
        <w:rPr>
          <w:rStyle w:val="EndnoteReference"/>
        </w:rPr>
        <w:endnoteReference w:id="45"/>
      </w:r>
    </w:p>
    <w:p w14:paraId="06E611D7" w14:textId="072CB928" w:rsidR="006D3CD6" w:rsidRDefault="00777A6F" w:rsidP="006D3CD6">
      <w:pPr>
        <w:pStyle w:val="Level1"/>
        <w:rPr>
          <w:rFonts w:eastAsia="SimSun"/>
        </w:rPr>
      </w:pPr>
      <w:bookmarkStart w:id="180" w:name="_Ref419732821"/>
      <w:r>
        <w:rPr>
          <w:rFonts w:eastAsia="SimSun"/>
        </w:rPr>
        <w:t>The law relating to insolvency in connection with trusts (including, without limitation, as to ranking of creditors and distribution of assets) is complex and uncertain and there is no applicable statutory regime</w:t>
      </w:r>
      <w:r w:rsidR="008B62C3">
        <w:rPr>
          <w:rFonts w:eastAsia="SimSun"/>
        </w:rPr>
        <w:t xml:space="preserve"> (although some parts of the Corporations Act apply in some circumstances)</w:t>
      </w:r>
      <w:r>
        <w:rPr>
          <w:rFonts w:eastAsia="SimSun"/>
        </w:rPr>
        <w:t>.</w:t>
      </w:r>
      <w:r>
        <w:rPr>
          <w:rStyle w:val="EndnoteReference"/>
          <w:rFonts w:eastAsia="SimSun"/>
        </w:rPr>
        <w:endnoteReference w:id="46"/>
      </w:r>
      <w:bookmarkEnd w:id="180"/>
    </w:p>
    <w:p w14:paraId="1747F7AB" w14:textId="77777777" w:rsidR="006D3CD6" w:rsidRPr="00AD4B57" w:rsidRDefault="006D3CD6" w:rsidP="006D3CD6">
      <w:pPr>
        <w:pStyle w:val="Level1fo"/>
      </w:pPr>
    </w:p>
    <w:p w14:paraId="3EF520BB" w14:textId="77777777" w:rsidR="006D3CD6" w:rsidRPr="003D2EFF" w:rsidRDefault="00777A6F" w:rsidP="006D3CD6">
      <w:pPr>
        <w:pStyle w:val="ListBullet5"/>
        <w:numPr>
          <w:ilvl w:val="0"/>
          <w:numId w:val="0"/>
        </w:numPr>
        <w:spacing w:before="0"/>
        <w:outlineLvl w:val="0"/>
      </w:pPr>
      <w:r>
        <w:rPr>
          <w:rFonts w:eastAsia="SimSun"/>
        </w:rPr>
        <w:br w:type="page"/>
      </w:r>
    </w:p>
    <w:sectPr w:rsidR="006D3CD6" w:rsidRPr="003D2EFF">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pgMar w:top="11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1D72D" w14:textId="77777777" w:rsidR="006E7E8A" w:rsidRDefault="006E7E8A">
      <w:pPr>
        <w:widowControl/>
      </w:pPr>
      <w:r>
        <w:rPr>
          <w:b/>
          <w:bCs/>
        </w:rPr>
        <w:t>Endnotes</w:t>
      </w:r>
    </w:p>
  </w:endnote>
  <w:endnote w:type="continuationSeparator" w:id="0">
    <w:p w14:paraId="436DFAA6" w14:textId="77777777" w:rsidR="006E7E8A" w:rsidRDefault="006E7E8A">
      <w:pPr>
        <w:widowControl/>
      </w:pPr>
    </w:p>
  </w:endnote>
  <w:endnote w:id="1">
    <w:p w14:paraId="5E894105" w14:textId="77777777" w:rsidR="006D3CD6" w:rsidRDefault="00777A6F">
      <w:pPr>
        <w:pStyle w:val="EndnoteText"/>
      </w:pPr>
      <w:bookmarkStart w:id="8" w:name="_DV_C10"/>
      <w:r>
        <w:rPr>
          <w:rStyle w:val="EndnoteReference"/>
        </w:rPr>
        <w:endnoteRef/>
      </w:r>
      <w:r>
        <w:t xml:space="preserve"> </w:t>
      </w:r>
      <w:r>
        <w:tab/>
      </w:r>
      <w:r w:rsidRPr="005B3B08">
        <w:t>Tailor this to the relevant definition from the Agreement.</w:t>
      </w:r>
      <w:bookmarkEnd w:id="8"/>
    </w:p>
  </w:endnote>
  <w:endnote w:id="2">
    <w:p w14:paraId="52905899" w14:textId="77777777" w:rsidR="006D3CD6" w:rsidRDefault="00777A6F">
      <w:pPr>
        <w:pStyle w:val="EndnoteText"/>
      </w:pPr>
      <w:r>
        <w:rPr>
          <w:rStyle w:val="EndnoteReference"/>
        </w:rPr>
        <w:endnoteRef/>
      </w:r>
      <w:r>
        <w:t xml:space="preserve"> </w:t>
      </w:r>
      <w:r>
        <w:tab/>
      </w:r>
      <w:r w:rsidRPr="005B3B08">
        <w:t>Choose the appropriate option.</w:t>
      </w:r>
    </w:p>
  </w:endnote>
  <w:endnote w:id="3">
    <w:p w14:paraId="06A3C21F" w14:textId="77777777" w:rsidR="006D3CD6" w:rsidRDefault="00777A6F">
      <w:pPr>
        <w:pStyle w:val="EndnoteText"/>
      </w:pPr>
      <w:r>
        <w:rPr>
          <w:rStyle w:val="EndnoteReference"/>
        </w:rPr>
        <w:endnoteRef/>
      </w:r>
      <w:r>
        <w:t xml:space="preserve"> </w:t>
      </w:r>
      <w:r>
        <w:tab/>
        <w:t xml:space="preserve">This should refer to the "due diligence" material required or obtained by the opinion recipient from the Trustee Obligor as to satisfaction of trust requirements (expected to be a certificate and may include documents such as minutes, certificates, valuations etc). </w:t>
      </w:r>
    </w:p>
    <w:p w14:paraId="535ADF40" w14:textId="77777777" w:rsidR="006D3CD6" w:rsidRDefault="00777A6F" w:rsidP="006D3CD6">
      <w:pPr>
        <w:pStyle w:val="EndnoteText"/>
        <w:ind w:hanging="11"/>
      </w:pPr>
      <w:r>
        <w:t xml:space="preserve">This opinion assumes that this will include a certificate or other evidence for the party receiving the opinion that the specific procedures required by the Trust Deed for entry into and performance of the </w:t>
      </w:r>
      <w:r>
        <w:t>Agreement  have been satisfied (</w:t>
      </w:r>
      <w:r>
        <w:t xml:space="preserve">eg the certificate would state </w:t>
      </w:r>
      <w:r w:rsidRPr="002374EE">
        <w:t xml:space="preserve">that </w:t>
      </w:r>
      <w:r>
        <w:t>"</w:t>
      </w:r>
      <w:r w:rsidRPr="002374EE">
        <w:t>the procedures required under clause[s] [</w:t>
      </w:r>
      <w:r w:rsidRPr="002374EE">
        <w:rPr>
          <w:rFonts w:hint="eastAsia"/>
        </w:rPr>
        <w:t>●</w:t>
      </w:r>
      <w:r w:rsidRPr="002374EE">
        <w:t>] [and [</w:t>
      </w:r>
      <w:r w:rsidRPr="002374EE">
        <w:rPr>
          <w:rFonts w:hint="eastAsia"/>
        </w:rPr>
        <w:t>●</w:t>
      </w:r>
      <w:r w:rsidRPr="002374EE">
        <w:t>]] of [the [relevant] Trust Deed have been completed</w:t>
      </w:r>
      <w:r>
        <w:t>") and may have attached documents evidencing completion of those procedures.</w:t>
      </w:r>
    </w:p>
  </w:endnote>
  <w:endnote w:id="4">
    <w:p w14:paraId="7FD176C0" w14:textId="77777777" w:rsidR="00C87665" w:rsidRDefault="00C87665" w:rsidP="00C87665">
      <w:pPr>
        <w:pStyle w:val="EndnoteText"/>
      </w:pPr>
      <w:r>
        <w:rPr>
          <w:rStyle w:val="EndnoteReference"/>
        </w:rPr>
        <w:endnoteRef/>
      </w:r>
      <w:r>
        <w:t xml:space="preserve"> </w:t>
      </w:r>
      <w:r>
        <w:tab/>
        <w:t>I</w:t>
      </w:r>
      <w:r w:rsidRPr="0013282C">
        <w:t xml:space="preserve">f the </w:t>
      </w:r>
      <w:r>
        <w:t>opining</w:t>
      </w:r>
      <w:r w:rsidRPr="0013282C">
        <w:t xml:space="preserve"> firm has reviewed </w:t>
      </w:r>
      <w:r>
        <w:t>board resolutions or constitutions</w:t>
      </w:r>
      <w:r w:rsidRPr="0013282C">
        <w:t>, they should be listed here.</w:t>
      </w:r>
    </w:p>
  </w:endnote>
  <w:endnote w:id="5">
    <w:p w14:paraId="31ABA003" w14:textId="1AD97672" w:rsidR="00A41260" w:rsidRPr="005101B3" w:rsidRDefault="00777A6F" w:rsidP="00A41260">
      <w:pPr>
        <w:pStyle w:val="EndnoteText"/>
        <w:rPr>
          <w:b/>
          <w:bCs/>
          <w:i/>
          <w:iCs/>
        </w:rPr>
      </w:pPr>
      <w:r w:rsidRPr="005101B3">
        <w:rPr>
          <w:rStyle w:val="EndnoteReference"/>
        </w:rPr>
        <w:endnoteRef/>
      </w:r>
      <w:r w:rsidRPr="005101B3">
        <w:t xml:space="preserve"> </w:t>
      </w:r>
      <w:r w:rsidRPr="005101B3">
        <w:tab/>
      </w:r>
      <w:r w:rsidR="002E7415" w:rsidRPr="005101B3">
        <w:t xml:space="preserve">This placeholder </w:t>
      </w:r>
      <w:r w:rsidR="00E9667B" w:rsidRPr="005101B3">
        <w:t>may</w:t>
      </w:r>
      <w:r w:rsidR="00680F9C" w:rsidRPr="005101B3">
        <w:t xml:space="preserve">, but need not, </w:t>
      </w:r>
      <w:r w:rsidR="002E7415" w:rsidRPr="005101B3">
        <w:t xml:space="preserve">be used by the </w:t>
      </w:r>
      <w:r w:rsidR="008F6885" w:rsidRPr="005101B3">
        <w:t>opining</w:t>
      </w:r>
      <w:r w:rsidR="002E7415" w:rsidRPr="005101B3">
        <w:t xml:space="preserve"> firm to set out any documents or confirmations which they or an addressee </w:t>
      </w:r>
      <w:r w:rsidR="002E7415" w:rsidRPr="005101B3">
        <w:t xml:space="preserve">have </w:t>
      </w:r>
      <w:r w:rsidR="00D413D1" w:rsidRPr="005101B3">
        <w:t>seen</w:t>
      </w:r>
      <w:r w:rsidR="002E7415" w:rsidRPr="005101B3">
        <w:t xml:space="preserve">, and which they or an addressee require </w:t>
      </w:r>
      <w:r w:rsidR="00F36828" w:rsidRPr="005101B3">
        <w:t xml:space="preserve">in relation to </w:t>
      </w:r>
      <w:r w:rsidR="002E7415" w:rsidRPr="005101B3">
        <w:t>execution.  This m</w:t>
      </w:r>
      <w:r w:rsidR="00B0755F" w:rsidRPr="005101B3">
        <w:t>ight</w:t>
      </w:r>
      <w:r w:rsidR="002E7415" w:rsidRPr="005101B3">
        <w:t xml:space="preserve"> include, for example, an email </w:t>
      </w:r>
      <w:r w:rsidR="00D413D1" w:rsidRPr="005101B3">
        <w:t xml:space="preserve">to or </w:t>
      </w:r>
      <w:r w:rsidR="002E7415" w:rsidRPr="005101B3">
        <w:t>from the signatory confirming that they have signed the documents or a report</w:t>
      </w:r>
      <w:r w:rsidR="001042DF" w:rsidRPr="005101B3">
        <w:t xml:space="preserve"> or certificate</w:t>
      </w:r>
      <w:r w:rsidR="002E7415" w:rsidRPr="005101B3">
        <w:t xml:space="preserve"> issued by an electronic signature platform. </w:t>
      </w:r>
      <w:r w:rsidR="00B42DBA" w:rsidRPr="005101B3">
        <w:t>Th</w:t>
      </w:r>
      <w:r w:rsidR="0092319A" w:rsidRPr="005101B3">
        <w:t xml:space="preserve">e practice as </w:t>
      </w:r>
      <w:r w:rsidR="0028667C" w:rsidRPr="005101B3">
        <w:t>to whether to require such documents may vary.</w:t>
      </w:r>
    </w:p>
  </w:endnote>
  <w:endnote w:id="6">
    <w:p w14:paraId="20265328" w14:textId="347DD540" w:rsidR="006D3CD6" w:rsidRDefault="00777A6F" w:rsidP="006D3CD6">
      <w:pPr>
        <w:pStyle w:val="EndnoteText"/>
      </w:pPr>
      <w:r w:rsidRPr="005101B3">
        <w:rPr>
          <w:rStyle w:val="EndnoteReference"/>
        </w:rPr>
        <w:endnoteRef/>
      </w:r>
      <w:r w:rsidRPr="005101B3">
        <w:t xml:space="preserve"> </w:t>
      </w:r>
      <w:r w:rsidRPr="005101B3">
        <w:tab/>
        <w:t xml:space="preserve">The opining law firm opines only on what procedures are expressly required.  As to whether the procedures have </w:t>
      </w:r>
      <w:r w:rsidRPr="005101B3">
        <w:t xml:space="preserve">actually been completed includes questions of fact, on which the opining firm is unable to opine, particularly in the absence of an indoor management rule applicable to trustees.  The opinion recipient on those matters </w:t>
      </w:r>
      <w:r w:rsidR="00A276EC" w:rsidRPr="005101B3">
        <w:t>needs to</w:t>
      </w:r>
      <w:r w:rsidR="000B4A15" w:rsidRPr="005101B3">
        <w:t xml:space="preserve"> </w:t>
      </w:r>
      <w:r w:rsidRPr="005101B3">
        <w:t>rel</w:t>
      </w:r>
      <w:r w:rsidR="00A276EC" w:rsidRPr="005101B3">
        <w:t xml:space="preserve">y </w:t>
      </w:r>
      <w:r w:rsidRPr="005101B3">
        <w:t xml:space="preserve">on the material supplied by the Trustee Obligor. See also note </w:t>
      </w:r>
      <w:r w:rsidRPr="005101B3">
        <w:fldChar w:fldCharType="begin"/>
      </w:r>
      <w:r w:rsidRPr="005101B3">
        <w:instrText xml:space="preserve"> NOTEREF _Ref426019359 \h </w:instrText>
      </w:r>
      <w:r w:rsidR="005101B3">
        <w:instrText xml:space="preserve"> \* MERGEFORMAT </w:instrText>
      </w:r>
      <w:r w:rsidRPr="005101B3">
        <w:fldChar w:fldCharType="separate"/>
      </w:r>
      <w:r w:rsidR="0003457F">
        <w:t>3</w:t>
      </w:r>
      <w:r w:rsidRPr="005101B3">
        <w:fldChar w:fldCharType="end"/>
      </w:r>
      <w:r w:rsidRPr="005101B3">
        <w:t xml:space="preserve"> above and note </w:t>
      </w:r>
      <w:r w:rsidRPr="005101B3">
        <w:fldChar w:fldCharType="begin"/>
      </w:r>
      <w:r w:rsidRPr="005101B3">
        <w:instrText xml:space="preserve"> NOTEREF _Ref397267770 \h </w:instrText>
      </w:r>
      <w:r w:rsidR="005A7FC5" w:rsidRPr="005101B3">
        <w:instrText xml:space="preserve"> \* MERGEFORMAT </w:instrText>
      </w:r>
      <w:r w:rsidRPr="005101B3">
        <w:fldChar w:fldCharType="separate"/>
      </w:r>
      <w:r w:rsidR="0003457F">
        <w:t>16</w:t>
      </w:r>
      <w:r w:rsidRPr="005101B3">
        <w:fldChar w:fldCharType="end"/>
      </w:r>
      <w:r w:rsidRPr="005101B3">
        <w:t xml:space="preserve"> below.</w:t>
      </w:r>
      <w:r>
        <w:t xml:space="preserve">  </w:t>
      </w:r>
    </w:p>
  </w:endnote>
  <w:endnote w:id="7">
    <w:p w14:paraId="7950E49E" w14:textId="77777777" w:rsidR="006D3CD6" w:rsidRDefault="00777A6F">
      <w:pPr>
        <w:pStyle w:val="EndnoteText"/>
      </w:pPr>
      <w:r>
        <w:rPr>
          <w:rStyle w:val="EndnoteReference"/>
        </w:rPr>
        <w:endnoteRef/>
      </w:r>
      <w:r>
        <w:t xml:space="preserve"> </w:t>
      </w:r>
      <w:r>
        <w:tab/>
      </w:r>
      <w:r w:rsidRPr="00084F40">
        <w:t>Consideration should be given to whether there are any laws in force that may not have commenced full operation yet, and whether those laws should be excluded from the scope of the opinion.  In some circumstances, it may be appropriate to include a qualification specifically addressing laws that are not in full operation or effect</w:t>
      </w:r>
      <w:r>
        <w:t>.</w:t>
      </w:r>
    </w:p>
  </w:endnote>
  <w:endnote w:id="8">
    <w:p w14:paraId="2F5F7F5B" w14:textId="77777777" w:rsidR="006D3CD6" w:rsidRDefault="00777A6F">
      <w:pPr>
        <w:pStyle w:val="EndnoteText"/>
      </w:pPr>
      <w:bookmarkStart w:id="55" w:name="_DV_C35"/>
      <w:r>
        <w:rPr>
          <w:rStyle w:val="EndnoteReference"/>
        </w:rPr>
        <w:endnoteRef/>
      </w:r>
      <w:r>
        <w:t xml:space="preserve"> </w:t>
      </w:r>
      <w:r>
        <w:tab/>
      </w:r>
      <w:r w:rsidRPr="00084F40">
        <w:t>The law firm may choose its preferred alternative for the transaction.</w:t>
      </w:r>
      <w:bookmarkEnd w:id="55"/>
    </w:p>
  </w:endnote>
  <w:endnote w:id="9">
    <w:p w14:paraId="0C188D23" w14:textId="0059C0F4" w:rsidR="00A53BE3" w:rsidRDefault="00A53BE3">
      <w:pPr>
        <w:pStyle w:val="EndnoteText"/>
      </w:pPr>
      <w:r>
        <w:rPr>
          <w:rStyle w:val="EndnoteReference"/>
        </w:rPr>
        <w:endnoteRef/>
      </w:r>
      <w:r>
        <w:t xml:space="preserve"> </w:t>
      </w:r>
      <w:r>
        <w:tab/>
      </w:r>
      <w:r w:rsidRPr="00154D69">
        <w:t>A firm may wish to insert the time of the relevant search (for example, if it has conducted multiple searches on the same day, or if the opinion is addressed to parties in different time zones).</w:t>
      </w:r>
    </w:p>
  </w:endnote>
  <w:endnote w:id="10">
    <w:p w14:paraId="7DA58692" w14:textId="33E399A4" w:rsidR="006D3CD6" w:rsidRPr="00154D69" w:rsidRDefault="00777A6F" w:rsidP="006D3CD6">
      <w:pPr>
        <w:pStyle w:val="EndnoteText"/>
      </w:pPr>
      <w:r w:rsidRPr="00154D69">
        <w:rPr>
          <w:rStyle w:val="EndnoteReference"/>
        </w:rPr>
        <w:endnoteRef/>
      </w:r>
      <w:r w:rsidRPr="00154D69">
        <w:t xml:space="preserve"> </w:t>
      </w:r>
      <w:r w:rsidRPr="00154D69">
        <w:tab/>
        <w:t xml:space="preserve">This register was established under the </w:t>
      </w:r>
      <w:r w:rsidRPr="00154D69">
        <w:rPr>
          <w:i/>
          <w:iCs/>
        </w:rPr>
        <w:t>Corporations Regulations 2001</w:t>
      </w:r>
      <w:r w:rsidRPr="00154D69">
        <w:t xml:space="preserve"> (</w:t>
      </w:r>
      <w:r w:rsidRPr="00154D69">
        <w:t xml:space="preserve">Cth) – see regulation 5.6.75. It can be accessed at </w:t>
      </w:r>
      <w:r w:rsidRPr="00B96452">
        <w:t>https://insolvencynotices.asic.gov.au/ and</w:t>
      </w:r>
      <w:r w:rsidRPr="00154D69">
        <w:t xml:space="preserve"> can be searched by company name or ACN.  </w:t>
      </w:r>
      <w:r w:rsidR="00851D5E" w:rsidRPr="00F7450E">
        <w:t xml:space="preserve"> It may be prudent for the opining firm both to search this register and to review an ASIC search for insolvency notices for two reasons: (1) the timeframes for publication on this register differ from those applying to forms lodged with ASIC, and this register may provide earlier notice of a voluntary winding up; and (2) if the relevant ASIC form has not been lodged due to human error (or is otherwise not yet reflected in the public register), it provides a second way to check for public notice of certain insolvency events.</w:t>
      </w:r>
      <w:r w:rsidR="00851D5E">
        <w:t xml:space="preserve"> </w:t>
      </w:r>
    </w:p>
    <w:p w14:paraId="522877F0" w14:textId="3D89FD3F" w:rsidR="006D3CD6" w:rsidRPr="00154D69" w:rsidRDefault="00F40C7A" w:rsidP="006D3CD6">
      <w:pPr>
        <w:pStyle w:val="EndnoteText"/>
        <w:ind w:firstLine="0"/>
      </w:pPr>
      <w:r w:rsidRPr="00154D69">
        <w:t>A firm may wish to insert the time of the relevant search (for example, if it has conducted multiple searches on the same day, or if the opinion is addressed to parties in different time zones).</w:t>
      </w:r>
    </w:p>
  </w:endnote>
  <w:endnote w:id="11">
    <w:p w14:paraId="758E176A" w14:textId="77777777" w:rsidR="006D3CD6" w:rsidRDefault="00777A6F" w:rsidP="006D3CD6">
      <w:pPr>
        <w:pStyle w:val="EndnoteText"/>
      </w:pPr>
      <w:r>
        <w:rPr>
          <w:rStyle w:val="EndnoteReference"/>
        </w:rPr>
        <w:endnoteRef/>
      </w:r>
      <w:r>
        <w:t xml:space="preserve"> </w:t>
      </w:r>
      <w:r>
        <w:tab/>
        <w:t>The ASIC searches are</w:t>
      </w:r>
      <w:r w:rsidRPr="00084F40">
        <w:t xml:space="preserve"> all that </w:t>
      </w:r>
      <w:r>
        <w:t>are</w:t>
      </w:r>
      <w:r w:rsidRPr="00084F40">
        <w:t xml:space="preserve"> necessary for the opining firm to give those opinions in an unsecured transaction</w:t>
      </w:r>
      <w:r>
        <w:t>.</w:t>
      </w:r>
    </w:p>
  </w:endnote>
  <w:endnote w:id="12">
    <w:p w14:paraId="6725268E" w14:textId="77777777" w:rsidR="006D3CD6" w:rsidRDefault="00777A6F" w:rsidP="006D3CD6">
      <w:pPr>
        <w:pStyle w:val="EndnoteText"/>
      </w:pPr>
      <w:r>
        <w:rPr>
          <w:rStyle w:val="EndnoteReference"/>
        </w:rPr>
        <w:endnoteRef/>
      </w:r>
      <w:r>
        <w:t xml:space="preserve"> </w:t>
      </w:r>
      <w:r>
        <w:tab/>
        <w:t xml:space="preserve">The opinion does not expressly comment on </w:t>
      </w:r>
      <w:r>
        <w:t>a number of matters that opinions have commonly addressed in the past:</w:t>
      </w:r>
    </w:p>
    <w:p w14:paraId="174508E7" w14:textId="77777777" w:rsidR="006D3CD6" w:rsidRPr="00084F40" w:rsidRDefault="00777A6F" w:rsidP="006D3CD6">
      <w:pPr>
        <w:pStyle w:val="EndnoteText"/>
        <w:ind w:left="709" w:firstLine="0"/>
        <w:rPr>
          <w:b/>
        </w:rPr>
      </w:pPr>
      <w:r w:rsidRPr="00084F40">
        <w:rPr>
          <w:b/>
        </w:rPr>
        <w:t>Corporate action</w:t>
      </w:r>
    </w:p>
    <w:p w14:paraId="43EF41D2" w14:textId="7C9B1855" w:rsidR="008B62C3" w:rsidRDefault="008B62C3" w:rsidP="006D3CD6">
      <w:pPr>
        <w:pStyle w:val="EndnoteText"/>
        <w:ind w:left="709" w:firstLine="0"/>
      </w:pPr>
      <w:bookmarkStart w:id="66" w:name="_Hlk219111799"/>
      <w:r>
        <w:t xml:space="preserve">Some opinion firms seek and obtain extracts of board minutes as part of their normal due diligence and some do not. </w:t>
      </w:r>
    </w:p>
    <w:bookmarkEnd w:id="66"/>
    <w:p w14:paraId="4E734E4C" w14:textId="7215A887" w:rsidR="006D3CD6" w:rsidRDefault="00777A6F" w:rsidP="006D3CD6">
      <w:pPr>
        <w:pStyle w:val="EndnoteText"/>
        <w:ind w:left="709" w:firstLine="0"/>
      </w:pPr>
      <w:r>
        <w:t>In the past, it has not been uncommon for an opinion to include a paragraph along the following lines:</w:t>
      </w:r>
    </w:p>
    <w:p w14:paraId="388FA548" w14:textId="77777777" w:rsidR="006D3CD6" w:rsidRDefault="00777A6F" w:rsidP="006D3CD6">
      <w:pPr>
        <w:pStyle w:val="EndnoteText"/>
        <w:ind w:left="1276" w:firstLine="0"/>
      </w:pPr>
      <w:r>
        <w:t>"[The / Each] Obligor has taken all corporate action for it to enter into the Agreement and to perform its obligations under it."</w:t>
      </w:r>
    </w:p>
    <w:p w14:paraId="79C495AB" w14:textId="77777777" w:rsidR="006D3CD6" w:rsidRDefault="00777A6F" w:rsidP="006D3CD6">
      <w:pPr>
        <w:pStyle w:val="EndnoteText"/>
        <w:ind w:left="709" w:firstLine="0"/>
      </w:pPr>
      <w:r>
        <w:t>That paragraph is unnecessary, as it is covered by the opinion that the Agreement is binding on an Obligor and enforceable against it.   The party relying on the opinion is concerned whether the Agreement is binding and enforceable against an Obligor.  Corporate authorisations are merely a step in the process of making them binding, but in Australia they are not a necessary step because of the operation of the statutory assumptions in section 129 of the Corporations Act.</w:t>
      </w:r>
    </w:p>
    <w:p w14:paraId="05AEAB26" w14:textId="71C53D77" w:rsidR="006D3CD6" w:rsidRDefault="00777A6F" w:rsidP="006D3CD6">
      <w:pPr>
        <w:pStyle w:val="EndnoteText"/>
        <w:ind w:left="709" w:firstLine="0"/>
      </w:pPr>
      <w:r>
        <w:t xml:space="preserve">If in fact there was a missed necessary corporate authorisation – for example, because directors did not authorise entry into the Agreement – then the Agreement </w:t>
      </w:r>
      <w:r w:rsidR="008B62C3">
        <w:t xml:space="preserve">might </w:t>
      </w:r>
      <w:r>
        <w:t>not be binding on an Obligor, unless the other party could rely on the statutory assumptions, and the opining counsel would be held responsible under the "obligations binding" paragraph.</w:t>
      </w:r>
    </w:p>
    <w:p w14:paraId="18E8852F" w14:textId="77777777" w:rsidR="006D3CD6" w:rsidRDefault="00777A6F" w:rsidP="006D3CD6">
      <w:pPr>
        <w:pStyle w:val="EndnoteText"/>
        <w:ind w:left="709" w:firstLine="0"/>
      </w:pPr>
      <w:r>
        <w:t>Further, the traditional wording of the paragraph connotes a heavy degree of due diligence, which may go beyond merely checking the minutes or extracts of minutes sometimes seen by opining counsel.  It deals with "all" authorisations, which can include all management processes and any necessary processes for the relevant directors' meeting to be effective, for instance, proper appointment of the relevant directors and all steps necessary to call a proper meeting.  Opining counsel should only need to see whatever documents are sufficient for it to give the opinion that the Agreement is binding and enforceable, given the assumptions in section 129 of the Corporations Act.</w:t>
      </w:r>
    </w:p>
    <w:p w14:paraId="2B4A0E47" w14:textId="77777777" w:rsidR="006D3CD6" w:rsidRDefault="00777A6F" w:rsidP="006D3CD6">
      <w:pPr>
        <w:pStyle w:val="EndnoteText"/>
        <w:ind w:left="709" w:firstLine="0"/>
      </w:pPr>
      <w:r>
        <w:t xml:space="preserve">Where the opining firm or the opinion recipient has been provided with the board minutes or extracts of minutes then the opining firm must review them, but it is still necessary to include the statutory assumptions to cover issues that may not be apparent from the minutes or extracts.  </w:t>
      </w:r>
    </w:p>
    <w:p w14:paraId="53128818" w14:textId="77777777" w:rsidR="006D3CD6" w:rsidRPr="00084F40" w:rsidRDefault="00777A6F" w:rsidP="006D3CD6">
      <w:pPr>
        <w:pStyle w:val="EndnoteText"/>
        <w:ind w:left="709" w:firstLine="0"/>
        <w:rPr>
          <w:b/>
        </w:rPr>
      </w:pPr>
      <w:r w:rsidRPr="00084F40">
        <w:rPr>
          <w:b/>
        </w:rPr>
        <w:t>Sovereign immunity</w:t>
      </w:r>
    </w:p>
    <w:p w14:paraId="08FBD371" w14:textId="77777777" w:rsidR="006D3CD6" w:rsidRDefault="00777A6F" w:rsidP="006D3CD6">
      <w:pPr>
        <w:pStyle w:val="EndnoteText"/>
        <w:ind w:left="709" w:firstLine="0"/>
      </w:pPr>
      <w:r>
        <w:t>An opinion on sovereign immunity is not relevant in a domestic transaction where the borrower is incorporated under the Corporations Act.  In offshore transactions, however, a paragraph could be given in these terms:</w:t>
      </w:r>
    </w:p>
    <w:p w14:paraId="3FEB5DE8" w14:textId="77777777" w:rsidR="006D3CD6" w:rsidRDefault="00777A6F" w:rsidP="006D3CD6">
      <w:pPr>
        <w:pStyle w:val="EndnoteText"/>
        <w:ind w:left="1276" w:firstLine="0"/>
      </w:pPr>
      <w:r>
        <w:t>"[The Obligor is not / No Obligor is] entitled to claim sovereign or other general immunity from suit or execution for itself or its assets."</w:t>
      </w:r>
    </w:p>
    <w:p w14:paraId="437E6E8A" w14:textId="77777777" w:rsidR="006D3CD6" w:rsidRDefault="00777A6F" w:rsidP="006D3CD6">
      <w:pPr>
        <w:pStyle w:val="EndnoteText"/>
        <w:ind w:left="709" w:firstLine="0"/>
      </w:pPr>
      <w:r>
        <w:t>If the opinion is given, it should refer to "general immunity" rather than just "immunity".  For example, an Obligor might own some assets that are protected from execution by statute, and the opining firm should not be required to conduct an exhaustive investigation of all an Obligor’s assets to determine whether this might be the case.</w:t>
      </w:r>
    </w:p>
    <w:p w14:paraId="64637521" w14:textId="77777777" w:rsidR="006D3CD6" w:rsidRPr="00084F40" w:rsidRDefault="00777A6F" w:rsidP="006D3CD6">
      <w:pPr>
        <w:pStyle w:val="EndnoteText"/>
        <w:ind w:left="709" w:firstLine="0"/>
        <w:rPr>
          <w:b/>
        </w:rPr>
      </w:pPr>
      <w:r w:rsidRPr="00084F40">
        <w:rPr>
          <w:b/>
        </w:rPr>
        <w:t>Governing law</w:t>
      </w:r>
    </w:p>
    <w:p w14:paraId="56915A63" w14:textId="77777777" w:rsidR="006D3CD6" w:rsidRDefault="00777A6F" w:rsidP="006D3CD6">
      <w:pPr>
        <w:pStyle w:val="EndnoteText"/>
        <w:ind w:left="709" w:firstLine="0"/>
      </w:pPr>
      <w:r>
        <w:t>It should not be necessary in an opinion on a domestic transaction to opine on the effectiveness of the governing law clause.  In offshore transactions, however, a paragraph could be included in these terms:</w:t>
      </w:r>
    </w:p>
    <w:p w14:paraId="21457B48" w14:textId="77777777" w:rsidR="006D3CD6" w:rsidRDefault="00777A6F" w:rsidP="006D3CD6">
      <w:pPr>
        <w:pStyle w:val="EndnoteText"/>
        <w:ind w:left="1276" w:firstLine="0"/>
      </w:pPr>
      <w:r>
        <w:t>"Courts of the Relevant Jurisdictions will give effect to:</w:t>
      </w:r>
    </w:p>
    <w:p w14:paraId="0197418B" w14:textId="77777777" w:rsidR="006D3CD6" w:rsidRDefault="00777A6F" w:rsidP="006D3CD6">
      <w:pPr>
        <w:pStyle w:val="EndnoteText"/>
        <w:ind w:left="1985" w:hanging="709"/>
      </w:pPr>
      <w:r>
        <w:t>(a)</w:t>
      </w:r>
      <w:r>
        <w:tab/>
        <w:t>the choice of governing law specified in the Agreement; and</w:t>
      </w:r>
    </w:p>
    <w:p w14:paraId="22BA1072" w14:textId="77777777" w:rsidR="006D3CD6" w:rsidRDefault="00777A6F" w:rsidP="006D3CD6">
      <w:pPr>
        <w:pStyle w:val="EndnoteText"/>
        <w:ind w:left="1985" w:hanging="709"/>
      </w:pPr>
      <w:r>
        <w:t>(b)</w:t>
      </w:r>
      <w:r>
        <w:tab/>
        <w:t>the submission by [the / each] Obligor in the Agreement to the jurisdiction of the courts specified in the Agreement."</w:t>
      </w:r>
    </w:p>
  </w:endnote>
  <w:endnote w:id="13">
    <w:p w14:paraId="57159990" w14:textId="77777777" w:rsidR="006D3CD6" w:rsidRDefault="00777A6F" w:rsidP="006D3CD6">
      <w:pPr>
        <w:pStyle w:val="EndnoteText"/>
      </w:pPr>
      <w:bookmarkStart w:id="70" w:name="_DV_C49"/>
      <w:r>
        <w:rPr>
          <w:rStyle w:val="EndnoteReference"/>
        </w:rPr>
        <w:endnoteRef/>
      </w:r>
      <w:r>
        <w:t xml:space="preserve"> </w:t>
      </w:r>
      <w:r>
        <w:tab/>
        <w:t>An opining firm may be asked to state that an Obligor is "duly" incorporated, or "validly" existing, or both.  These words (or similar) are not considered to add anything to the meaning of the opinion statement.</w:t>
      </w:r>
    </w:p>
    <w:p w14:paraId="72B11ED6" w14:textId="77777777" w:rsidR="006D3CD6" w:rsidRDefault="00777A6F" w:rsidP="006D3CD6">
      <w:pPr>
        <w:pStyle w:val="EndnoteText"/>
        <w:ind w:left="709" w:firstLine="0"/>
      </w:pPr>
      <w:r>
        <w:t xml:space="preserve">An opining firm may also be asked to expand the paragraph to state that an Obligor is incorporated and existing under the Corporations Act "as a company with limited liability", or to go on to say that an Obligor "is capable of suing and being sued in its corporate name".  These attributes are necessary incidents of the fact that an Obligor is incorporated under the Corporations Act, so additional wording along these lines will not add to the scope of the opinion statement.  Also, </w:t>
      </w:r>
      <w:r>
        <w:t>whether or not an Obligor operates with limited liability should not impact on an Obligor’s obligations under the Agreement, and so is not relevant for the purposes of the opinion.</w:t>
      </w:r>
    </w:p>
    <w:p w14:paraId="0FF8E118" w14:textId="77777777" w:rsidR="006D3CD6" w:rsidRDefault="00777A6F" w:rsidP="006D3CD6">
      <w:pPr>
        <w:pStyle w:val="EndnoteText"/>
        <w:ind w:left="709" w:firstLine="0"/>
      </w:pPr>
      <w:r>
        <w:t>It may however be appropriate to include text along these lines in an opinion where the addressees are not familiar with Australian law.</w:t>
      </w:r>
    </w:p>
    <w:p w14:paraId="59E0182E" w14:textId="5827F9E1" w:rsidR="006D3CD6" w:rsidRDefault="00777A6F" w:rsidP="006D3CD6">
      <w:pPr>
        <w:pStyle w:val="EndnoteText"/>
        <w:ind w:left="709" w:firstLine="0"/>
      </w:pPr>
      <w:r>
        <w:t>An opining firm may also be asked to expand this paragraph to state that an Obligor "has all requisite power to carry on its business and own its property".  If this simply restated the principle that a company under the Corporations Act has all the powers of a natural person (and more</w:t>
      </w:r>
      <w:r w:rsidR="008B62C3">
        <w:t>: see section 124</w:t>
      </w:r>
      <w:r>
        <w:t>), then this would be unobjectionable.  However, it could be read as suggesting that the opining firm has undertaken a broader investigation of an Obligor’s operations and assets, and of all the laws that apply to all the industries in which an Obligor is operating, to determine whether there are any regulatory restrictions on what businesses in that industry may or may not do.  This is likely to be outside the scope of the opining firm's opinion-giving responsibilities.</w:t>
      </w:r>
    </w:p>
    <w:bookmarkEnd w:id="70"/>
  </w:endnote>
  <w:endnote w:id="14">
    <w:p w14:paraId="050C7AFA" w14:textId="7B62FB23" w:rsidR="006D3CD6" w:rsidRDefault="00777A6F" w:rsidP="006D3CD6">
      <w:pPr>
        <w:pStyle w:val="EndnoteText"/>
      </w:pPr>
      <w:r>
        <w:rPr>
          <w:rStyle w:val="EndnoteReference"/>
        </w:rPr>
        <w:endnoteRef/>
      </w:r>
      <w:r>
        <w:t xml:space="preserve"> </w:t>
      </w:r>
      <w:r>
        <w:tab/>
        <w:t>This opinion paragraph is limited to "corporate" power.  An Obligor’s power to enter into the Agreement and to perform its obligations under it under law generally is covered by opinion paragraphs</w:t>
      </w:r>
      <w:r w:rsidR="006A6EA2">
        <w:t xml:space="preserve"> </w:t>
      </w:r>
      <w:r w:rsidR="008322C0">
        <w:fldChar w:fldCharType="begin"/>
      </w:r>
      <w:r w:rsidR="008322C0">
        <w:instrText xml:space="preserve"> REF _Ref419732658 \w \h </w:instrText>
      </w:r>
      <w:r w:rsidR="008322C0">
        <w:fldChar w:fldCharType="separate"/>
      </w:r>
      <w:r w:rsidR="008322C0">
        <w:rPr>
          <w:cs/>
        </w:rPr>
        <w:t>‎</w:t>
      </w:r>
      <w:r w:rsidR="008322C0">
        <w:t>5(d)</w:t>
      </w:r>
      <w:r w:rsidR="008322C0">
        <w:fldChar w:fldCharType="end"/>
      </w:r>
      <w:r w:rsidR="006A6EA2">
        <w:t xml:space="preserve"> and</w:t>
      </w:r>
      <w:r w:rsidR="008322C0">
        <w:t xml:space="preserve"> </w:t>
      </w:r>
      <w:r w:rsidR="008322C0">
        <w:fldChar w:fldCharType="begin"/>
      </w:r>
      <w:r w:rsidR="008322C0">
        <w:instrText xml:space="preserve"> REF _Ref221094262 \w \h </w:instrText>
      </w:r>
      <w:r w:rsidR="008322C0">
        <w:fldChar w:fldCharType="separate"/>
      </w:r>
      <w:r w:rsidR="008322C0">
        <w:rPr>
          <w:cs/>
        </w:rPr>
        <w:t>‎</w:t>
      </w:r>
      <w:r w:rsidR="008322C0">
        <w:t>5(f)</w:t>
      </w:r>
      <w:r w:rsidR="008322C0">
        <w:fldChar w:fldCharType="end"/>
      </w:r>
      <w:r>
        <w:t>.</w:t>
      </w:r>
    </w:p>
    <w:p w14:paraId="4AD66944" w14:textId="77777777" w:rsidR="006D3CD6" w:rsidRDefault="00777A6F" w:rsidP="006D3CD6">
      <w:pPr>
        <w:pStyle w:val="EndnoteText"/>
        <w:ind w:left="709" w:firstLine="0"/>
      </w:pPr>
      <w:r>
        <w:t>An opining firm may also be asked to state that an Obligor has the power "to exercise its rights under the Agreement".  This should not be necessary, as the addressees of the opinion should be interested in whether the Agreement is binding on an Obligor, not whether an Obligor is able to take full advantage of it.</w:t>
      </w:r>
    </w:p>
    <w:p w14:paraId="1E912222" w14:textId="77777777" w:rsidR="006D3CD6" w:rsidRDefault="00777A6F" w:rsidP="006D3CD6">
      <w:pPr>
        <w:pStyle w:val="EndnoteText"/>
        <w:ind w:left="709" w:firstLine="0"/>
      </w:pPr>
      <w:r>
        <w:t xml:space="preserve">If an Obligor executes the Agreement under a power of attorney, the opining firm may be asked to include a reference to that power of attorney in this opinion paragraph.  It is not necessary to include reference to the power of attorney, as it is the mechanism through which an Obligor becomes bound by its substantive obligations under the Agreement, rather than being a source of those substantive obligations in its own right. </w:t>
      </w:r>
    </w:p>
  </w:endnote>
  <w:endnote w:id="15">
    <w:p w14:paraId="40D73051" w14:textId="77777777" w:rsidR="006D3CD6" w:rsidRDefault="00777A6F" w:rsidP="006D3CD6">
      <w:pPr>
        <w:pStyle w:val="EndnoteText"/>
        <w:spacing w:before="120"/>
      </w:pPr>
      <w:r>
        <w:rPr>
          <w:rStyle w:val="EndnoteReference"/>
        </w:rPr>
        <w:endnoteRef/>
      </w:r>
      <w:r>
        <w:t xml:space="preserve"> </w:t>
      </w:r>
      <w:r>
        <w:tab/>
        <w:t>An opining firm may be asked to provide an opinion that:</w:t>
      </w:r>
    </w:p>
    <w:p w14:paraId="1A657596" w14:textId="77777777" w:rsidR="006D3CD6" w:rsidRDefault="00777A6F" w:rsidP="006D3CD6">
      <w:pPr>
        <w:pStyle w:val="EndnoteText"/>
        <w:ind w:left="1440" w:firstLine="0"/>
      </w:pPr>
      <w:r>
        <w:t>"The entry by [Trustee Obligor] into and the performance by it of its obligations under the Agreement, does not and will not contravene its Trust Deed".</w:t>
      </w:r>
    </w:p>
    <w:p w14:paraId="415CAD05" w14:textId="3EC46AE8" w:rsidR="006D3CD6" w:rsidRDefault="00777A6F" w:rsidP="006D3CD6">
      <w:pPr>
        <w:pStyle w:val="EndnoteText"/>
        <w:keepNext/>
        <w:widowControl/>
        <w:ind w:firstLine="0"/>
      </w:pPr>
      <w:r>
        <w:t xml:space="preserve">This is a statement as to factual matters, as well as documentary and legal </w:t>
      </w:r>
      <w:r w:rsidR="00FB21BD">
        <w:t>matters.</w:t>
      </w:r>
      <w:r>
        <w:t xml:space="preserve">  </w:t>
      </w:r>
      <w:r w:rsidR="008B62C3" w:rsidRPr="008B62C3">
        <w:t xml:space="preserve"> </w:t>
      </w:r>
      <w:r w:rsidR="008B62C3">
        <w:t>Strictly speaking, t</w:t>
      </w:r>
      <w:r>
        <w:t xml:space="preserve">his statement is not necessary as it is already covered by the opinion to the extent appropriate in a closing opinion. The documentary and legal matters inherent in this statement (e.g. involving a review of the Agreement and the terms of the Trust Deed) are covered by paragraphs </w:t>
      </w:r>
      <w:r>
        <w:fldChar w:fldCharType="begin"/>
      </w:r>
      <w:r>
        <w:instrText xml:space="preserve"> REF _Ref419732680 \w \h </w:instrText>
      </w:r>
      <w:r>
        <w:fldChar w:fldCharType="separate"/>
      </w:r>
      <w:r w:rsidR="0003457F">
        <w:rPr>
          <w:cs/>
        </w:rPr>
        <w:t>‎</w:t>
      </w:r>
      <w:r w:rsidR="0003457F">
        <w:t>5(c)(i)</w:t>
      </w:r>
      <w:r>
        <w:fldChar w:fldCharType="end"/>
      </w:r>
      <w:r>
        <w:t xml:space="preserve"> and </w:t>
      </w:r>
      <w:r>
        <w:fldChar w:fldCharType="begin"/>
      </w:r>
      <w:r>
        <w:instrText xml:space="preserve"> REF _Ref419732686 \w \h </w:instrText>
      </w:r>
      <w:r>
        <w:fldChar w:fldCharType="separate"/>
      </w:r>
      <w:r w:rsidR="0003457F">
        <w:rPr>
          <w:cs/>
        </w:rPr>
        <w:t>‎</w:t>
      </w:r>
      <w:r w:rsidR="0003457F">
        <w:t>5(c)(ii)</w:t>
      </w:r>
      <w:r>
        <w:fldChar w:fldCharType="end"/>
      </w:r>
      <w:r w:rsidR="008B62C3">
        <w:t xml:space="preserve">, as well as the assumption in paragraph 7(e)(ii) in </w:t>
      </w:r>
      <w:r w:rsidR="00043435">
        <w:t>S</w:t>
      </w:r>
      <w:r w:rsidR="008B62C3">
        <w:t>chedule 1</w:t>
      </w:r>
      <w:r>
        <w:t>.  The factual matter in this statement (eg</w:t>
      </w:r>
      <w:r w:rsidR="006C51E6">
        <w:t xml:space="preserve"> </w:t>
      </w:r>
      <w:r>
        <w:t>whether in fact the Trust Deed and procedures under it have been performed in accordance with the terms of the Trust Deed) may be addressed by the Verification Certificate</w:t>
      </w:r>
      <w:r w:rsidRPr="00CE1594">
        <w:t>.</w:t>
      </w:r>
    </w:p>
  </w:endnote>
  <w:endnote w:id="16">
    <w:p w14:paraId="1B667521" w14:textId="032F1932" w:rsidR="006D3CD6" w:rsidRDefault="00777A6F">
      <w:pPr>
        <w:pStyle w:val="EndnoteText"/>
      </w:pPr>
      <w:r>
        <w:rPr>
          <w:rStyle w:val="EndnoteReference"/>
        </w:rPr>
        <w:endnoteRef/>
      </w:r>
      <w:r>
        <w:t xml:space="preserve"> </w:t>
      </w:r>
      <w:r>
        <w:tab/>
        <w:t xml:space="preserve">The opining firm may be asked to give an opinion that all requirements of the Trust Deed have been satisfied.  The difficulty is that this involves questions of fact.  For example, even if the opining firm sees minutes of a board or committee, it does not know whether the meeting was duly held.  The absence of any indoor management rule for trusts and trustees makes this even more difficult.  An opining firm may be asked to provide an opinion that all necessary requirements have been satisfied, and in doing so rely on a statement to that effect in a certificate from the trustee, like the Verification Certificate contemplated above.  In that case the recipient would not be getting any additional comfort.  The opinion recipient should rely on the Verification Certificate directly, when combined with the opinion that the requirements listed are completed and the statement at the end of </w:t>
      </w:r>
      <w:r w:rsidR="00933899">
        <w:t>A</w:t>
      </w:r>
      <w:r>
        <w:t xml:space="preserve">ssumption 7 </w:t>
      </w:r>
      <w:r w:rsidR="008B62C3">
        <w:t xml:space="preserve">in </w:t>
      </w:r>
      <w:r w:rsidR="00043435">
        <w:t>S</w:t>
      </w:r>
      <w:r w:rsidR="008B62C3">
        <w:t>chedule 1</w:t>
      </w:r>
      <w:r>
        <w:t>.</w:t>
      </w:r>
    </w:p>
    <w:p w14:paraId="44A8446F" w14:textId="5B39C9E2" w:rsidR="006D3CD6" w:rsidRDefault="00777A6F" w:rsidP="006D3CD6">
      <w:pPr>
        <w:pStyle w:val="EndnoteText"/>
        <w:ind w:firstLine="0"/>
      </w:pPr>
      <w:r>
        <w:t xml:space="preserve">The opining firm should of course check the Verification Certificate and attachments or other documents supplied.  The opinion recipient should gain significant comfort from the statement at the end of </w:t>
      </w:r>
      <w:r w:rsidR="00933899">
        <w:t>A</w:t>
      </w:r>
      <w:r>
        <w:t xml:space="preserve">ssumption 7 in </w:t>
      </w:r>
      <w:r w:rsidR="00043435">
        <w:t>S</w:t>
      </w:r>
      <w:r>
        <w:t>chedule 1 that nothing in the documents reviewed (which include the Verification Certificate and attachments) contradicts the assumptions, which include that all the requirements have been satisfied.</w:t>
      </w:r>
    </w:p>
  </w:endnote>
  <w:endnote w:id="17">
    <w:p w14:paraId="0656412D" w14:textId="4D0E8FE3" w:rsidR="006D3CD6" w:rsidRDefault="00777A6F" w:rsidP="006D3CD6">
      <w:pPr>
        <w:pStyle w:val="EndnoteText"/>
      </w:pPr>
      <w:r>
        <w:rPr>
          <w:rStyle w:val="EndnoteReference"/>
        </w:rPr>
        <w:endnoteRef/>
      </w:r>
      <w:r>
        <w:t xml:space="preserve"> </w:t>
      </w:r>
      <w:r>
        <w:tab/>
        <w:t xml:space="preserve">Any indemnity will only apply to a liability "properly" incurred, and this is reflected in the opinion paragraph.  Whether a liability has been properly incurred involves questions of fact beyond the scope of an opinion. The right of indemnity may also be subject to the Trustee Obligor first making good any breach of trust or duty even if that breach is unrelated to the transactions contemplated by the Agreement. It is important to retain </w:t>
      </w:r>
      <w:r w:rsidR="00933899">
        <w:t>Q</w:t>
      </w:r>
      <w:r>
        <w:t xml:space="preserve">ualification </w:t>
      </w:r>
      <w:r>
        <w:fldChar w:fldCharType="begin"/>
      </w:r>
      <w:r>
        <w:instrText xml:space="preserve"> REF _Ref435108145 \r \h </w:instrText>
      </w:r>
      <w:r>
        <w:fldChar w:fldCharType="separate"/>
      </w:r>
      <w:r w:rsidR="0003457F">
        <w:rPr>
          <w:cs/>
        </w:rPr>
        <w:t>‎</w:t>
      </w:r>
      <w:r w:rsidR="0003457F">
        <w:t>7</w:t>
      </w:r>
      <w:r>
        <w:fldChar w:fldCharType="end"/>
      </w:r>
      <w:r>
        <w:t>.</w:t>
      </w:r>
    </w:p>
  </w:endnote>
  <w:endnote w:id="18">
    <w:p w14:paraId="360F0F93" w14:textId="77777777" w:rsidR="006D3CD6" w:rsidRDefault="00777A6F">
      <w:pPr>
        <w:pStyle w:val="EndnoteText"/>
      </w:pPr>
      <w:r>
        <w:rPr>
          <w:rStyle w:val="EndnoteReference"/>
        </w:rPr>
        <w:endnoteRef/>
      </w:r>
      <w:r>
        <w:t xml:space="preserve"> </w:t>
      </w:r>
      <w:r>
        <w:tab/>
      </w:r>
      <w:r w:rsidRPr="001C60EC">
        <w:t>An opining firm may be asked to extend this opinion to refer to an Obligor’s constitution.  In the normal course, this should not be necessary, as parties will be entitled under section 129(1) of the Corporations Act to assume that an Obligor’s constitution has been complied with, unless they know or suspect that this assumption is incorrect</w:t>
      </w:r>
      <w:r>
        <w:t>.</w:t>
      </w:r>
    </w:p>
    <w:p w14:paraId="7AD54507" w14:textId="0D6C6EC9" w:rsidR="00A41260" w:rsidRPr="005101B3" w:rsidRDefault="00777A6F" w:rsidP="007F427F">
      <w:pPr>
        <w:pStyle w:val="EndnoteText"/>
        <w:ind w:firstLine="0"/>
      </w:pPr>
      <w:r w:rsidRPr="005101B3">
        <w:t xml:space="preserve">This opinion statement was updated in </w:t>
      </w:r>
      <w:r w:rsidR="00116B68">
        <w:t>2026</w:t>
      </w:r>
      <w:r w:rsidRPr="005101B3">
        <w:t xml:space="preserve"> to refer to laws “applicable to companies generally” to make it clear that the opining firm is only opining that there has been no breach of laws which every company must follow.  There is now a significant amount of regulation applicable to </w:t>
      </w:r>
      <w:r w:rsidRPr="005101B3">
        <w:t>particular types of companies, including bespoke regulation for specific industries or sectors (</w:t>
      </w:r>
      <w:r w:rsidRPr="005101B3">
        <w:t>eg financial services).  An analysis of regulations applying to a particular company is a matter for advice, not a legal opinion.  This qualifying language is common in opinions</w:t>
      </w:r>
      <w:r w:rsidR="003977DB" w:rsidRPr="005101B3">
        <w:t xml:space="preserve"> in other jurisdictions</w:t>
      </w:r>
      <w:r w:rsidRPr="005101B3">
        <w:t>.</w:t>
      </w:r>
    </w:p>
  </w:endnote>
  <w:endnote w:id="19">
    <w:p w14:paraId="62C61A72" w14:textId="2E70AB92" w:rsidR="006D3CD6" w:rsidRDefault="00777A6F" w:rsidP="006D3CD6">
      <w:pPr>
        <w:pStyle w:val="EndnoteText"/>
      </w:pPr>
      <w:bookmarkStart w:id="84" w:name="_DV_C64"/>
      <w:bookmarkStart w:id="85" w:name="_DV_C61"/>
      <w:r w:rsidRPr="005101B3">
        <w:rPr>
          <w:rStyle w:val="EndnoteReference"/>
        </w:rPr>
        <w:endnoteRef/>
      </w:r>
      <w:r w:rsidRPr="005101B3">
        <w:t xml:space="preserve"> </w:t>
      </w:r>
      <w:r w:rsidRPr="005101B3">
        <w:tab/>
        <w:t xml:space="preserve">These words </w:t>
      </w:r>
      <w:r w:rsidR="00CD6CBD">
        <w:t xml:space="preserve">marked optional </w:t>
      </w:r>
      <w:r w:rsidRPr="005101B3">
        <w:t>are strictly not necessary, as their content is covered</w:t>
      </w:r>
      <w:r>
        <w:t xml:space="preserve"> by the remainder of paragraph </w:t>
      </w:r>
      <w:r>
        <w:fldChar w:fldCharType="begin"/>
      </w:r>
      <w:r>
        <w:instrText xml:space="preserve"> REF _Ref287278957 \w \h </w:instrText>
      </w:r>
      <w:r>
        <w:fldChar w:fldCharType="separate"/>
      </w:r>
      <w:r w:rsidR="0003457F">
        <w:rPr>
          <w:cs/>
        </w:rPr>
        <w:t>‎</w:t>
      </w:r>
      <w:r w:rsidR="0003457F">
        <w:t>5(e)</w:t>
      </w:r>
      <w:r>
        <w:fldChar w:fldCharType="end"/>
      </w:r>
      <w:r>
        <w:t>.  An opining firm may include them if requested</w:t>
      </w:r>
      <w:r w:rsidR="008B62C3" w:rsidRPr="008B62C3">
        <w:t xml:space="preserve"> </w:t>
      </w:r>
      <w:r w:rsidR="008B62C3">
        <w:t>or if it is their usual practice to include them</w:t>
      </w:r>
      <w:r>
        <w:t xml:space="preserve">.  </w:t>
      </w:r>
    </w:p>
    <w:p w14:paraId="64F17FD2" w14:textId="5E8FF5FD" w:rsidR="006D3CD6" w:rsidRDefault="00CD6CBD" w:rsidP="006D3CD6">
      <w:pPr>
        <w:pStyle w:val="EndnoteText"/>
        <w:ind w:left="709" w:firstLine="0"/>
      </w:pPr>
      <w:r>
        <w:t>Otherwise, if</w:t>
      </w:r>
      <w:r w:rsidR="00777A6F">
        <w:t xml:space="preserve"> the Agreement is being signed under a Power of Attorney, include the optional </w:t>
      </w:r>
      <w:r w:rsidR="00ED2A9F">
        <w:t>A</w:t>
      </w:r>
      <w:r w:rsidR="00777A6F">
        <w:t xml:space="preserve">ssumption </w:t>
      </w:r>
      <w:r w:rsidR="00DC15F7">
        <w:fldChar w:fldCharType="begin"/>
      </w:r>
      <w:r w:rsidR="00DC15F7">
        <w:instrText xml:space="preserve"> REF _Ref220924008 \r \h </w:instrText>
      </w:r>
      <w:r w:rsidR="00DC15F7">
        <w:fldChar w:fldCharType="separate"/>
      </w:r>
      <w:r w:rsidR="0003457F">
        <w:rPr>
          <w:cs/>
        </w:rPr>
        <w:t>‎</w:t>
      </w:r>
      <w:r w:rsidR="0003457F">
        <w:t>9</w:t>
      </w:r>
      <w:r w:rsidR="00DC15F7">
        <w:fldChar w:fldCharType="end"/>
      </w:r>
      <w:r w:rsidR="00777A6F">
        <w:t xml:space="preserve"> in Schedule 1 as well.</w:t>
      </w:r>
    </w:p>
    <w:bookmarkEnd w:id="84"/>
    <w:bookmarkEnd w:id="85"/>
  </w:endnote>
  <w:endnote w:id="20">
    <w:p w14:paraId="1FC19786" w14:textId="2D50619E" w:rsidR="006D3CD6" w:rsidRDefault="00777A6F" w:rsidP="006D3CD6">
      <w:pPr>
        <w:pStyle w:val="EndnoteText"/>
      </w:pPr>
      <w:r>
        <w:rPr>
          <w:rStyle w:val="EndnoteReference"/>
        </w:rPr>
        <w:endnoteRef/>
      </w:r>
      <w:r>
        <w:t xml:space="preserve"> </w:t>
      </w:r>
      <w:r>
        <w:tab/>
        <w:t xml:space="preserve">An opining firm may be asked to expand this opinion paragraph to state that the Agreement constitutes "legal, valid and" binding obligations.  These words have not been included because they do not add anything to the statement that the Agreement constitutes an Obligor’s "binding obligations".  If "validity" is included, the opining firm may need to amend </w:t>
      </w:r>
      <w:r w:rsidR="00933899">
        <w:t>Q</w:t>
      </w:r>
      <w:r>
        <w:t xml:space="preserve">ualification </w:t>
      </w:r>
      <w:r>
        <w:fldChar w:fldCharType="begin"/>
      </w:r>
      <w:r>
        <w:instrText xml:space="preserve"> REF _Ref428443507 \w \h </w:instrText>
      </w:r>
      <w:r>
        <w:fldChar w:fldCharType="separate"/>
      </w:r>
      <w:r w:rsidR="0003457F">
        <w:rPr>
          <w:cs/>
        </w:rPr>
        <w:t>‎</w:t>
      </w:r>
      <w:r w:rsidR="0003457F">
        <w:t>1</w:t>
      </w:r>
      <w:r>
        <w:fldChar w:fldCharType="end"/>
      </w:r>
      <w:r>
        <w:t xml:space="preserve"> in Schedule 2 to refer to obligations being valid as well as binding and enforceable. </w:t>
      </w:r>
    </w:p>
    <w:p w14:paraId="773234AF" w14:textId="190086E1" w:rsidR="007F1631" w:rsidRDefault="00777A6F" w:rsidP="006D3CD6">
      <w:pPr>
        <w:pStyle w:val="EndnoteText"/>
        <w:ind w:left="709" w:firstLine="0"/>
      </w:pPr>
      <w:r>
        <w:t>An opining firm may also be asked to expand this opinion paragraph to state that the Agreement is enforceable “in accordance with its terms”.  Again, these words have not been included because they do not add anything and their meaning is unclear.</w:t>
      </w:r>
    </w:p>
  </w:endnote>
  <w:endnote w:id="21">
    <w:p w14:paraId="5911BC99" w14:textId="77777777" w:rsidR="006D3CD6" w:rsidRDefault="00777A6F" w:rsidP="006D3CD6">
      <w:pPr>
        <w:pStyle w:val="EndnoteText"/>
        <w:keepNext/>
        <w:keepLines/>
      </w:pPr>
      <w:r>
        <w:rPr>
          <w:rStyle w:val="EndnoteReference"/>
        </w:rPr>
        <w:endnoteRef/>
      </w:r>
      <w:r>
        <w:t xml:space="preserve"> </w:t>
      </w:r>
      <w:r>
        <w:tab/>
        <w:t xml:space="preserve">An opining firm may be asked to convert this opinion paragraph into a statement in the positive, so that the opinion states that all necessary authorisations have been obtained.  This should be outside the scope of the opining firm's responsibilities, as it would impose on the opining firm the obligation not just to determine what authorisations are required, but also to confirm as a matter of fact that the authorisations held by an Obligor are genuine and adequate and have been properly obtained.  </w:t>
      </w:r>
    </w:p>
    <w:p w14:paraId="187D1A51" w14:textId="77777777" w:rsidR="006D3CD6" w:rsidRDefault="00777A6F" w:rsidP="006D3CD6">
      <w:pPr>
        <w:pStyle w:val="EndnoteText"/>
        <w:ind w:left="709" w:firstLine="0"/>
      </w:pPr>
      <w:r>
        <w:t xml:space="preserve">An opining firm may be asked to expand this opinion paragraph to refer not just to “authorisations”, but also to similar terms such as “consents” or “approvals”.  The word “authorisation” is intended to be broad enough to cover similar terms as well.  </w:t>
      </w:r>
    </w:p>
    <w:p w14:paraId="12675C03" w14:textId="77777777" w:rsidR="006D3CD6" w:rsidRDefault="00777A6F" w:rsidP="006D3CD6">
      <w:pPr>
        <w:pStyle w:val="EndnoteText"/>
        <w:ind w:left="709" w:firstLine="0"/>
      </w:pPr>
      <w:r>
        <w:t xml:space="preserve">In the same way, the phrase “government agency” is intended to cover the appropriate government </w:t>
      </w:r>
      <w:r>
        <w:t>bodies, and avoids the need to incorporate a corresponding defined term from the Agreement.</w:t>
      </w:r>
    </w:p>
  </w:endnote>
  <w:endnote w:id="22">
    <w:p w14:paraId="2241969D" w14:textId="77777777" w:rsidR="006D3CD6" w:rsidRDefault="00777A6F" w:rsidP="006D3CD6">
      <w:pPr>
        <w:pStyle w:val="EndnoteText"/>
      </w:pPr>
      <w:r>
        <w:rPr>
          <w:rStyle w:val="EndnoteReference"/>
        </w:rPr>
        <w:endnoteRef/>
      </w:r>
      <w:r>
        <w:t xml:space="preserve"> </w:t>
      </w:r>
      <w:r>
        <w:tab/>
        <w:t xml:space="preserve">An opining firm may be asked to expand this opinion paragraph to refer to the need to file the Agreement “or any other document or statement in relation to the Agreement”.  These additional words are </w:t>
      </w:r>
      <w:r>
        <w:t>unobjectionable, but are not necessary in the context of an unsecured facility.  They are more appropriate for a secured facility, where it would be relevant to consider whether financing statements need to be registered under the Personal Property Securities Act 2009 (</w:t>
      </w:r>
      <w:r>
        <w:t xml:space="preserve">Cth). </w:t>
      </w:r>
    </w:p>
    <w:p w14:paraId="493BCF5D" w14:textId="5626B3D9" w:rsidR="006D3CD6" w:rsidRDefault="00777A6F" w:rsidP="006D3CD6">
      <w:pPr>
        <w:pStyle w:val="EndnoteText"/>
        <w:ind w:left="709" w:firstLine="0"/>
      </w:pPr>
      <w:r>
        <w:t xml:space="preserve">For the reasons discussed in note </w:t>
      </w:r>
      <w:r w:rsidR="00933899">
        <w:fldChar w:fldCharType="begin"/>
      </w:r>
      <w:r w:rsidR="00933899">
        <w:instrText xml:space="preserve"> NOTEREF _DV_C63 \h </w:instrText>
      </w:r>
      <w:r w:rsidR="00933899">
        <w:fldChar w:fldCharType="separate"/>
      </w:r>
      <w:r w:rsidR="00933899">
        <w:t>20</w:t>
      </w:r>
      <w:r w:rsidR="00933899">
        <w:fldChar w:fldCharType="end"/>
      </w:r>
      <w:r>
        <w:t xml:space="preserve"> above, it is unnecessary to expand "binding" to include "legal" or "valid".</w:t>
      </w:r>
    </w:p>
    <w:p w14:paraId="168F03D2" w14:textId="77777777" w:rsidR="006D3CD6" w:rsidRDefault="00777A6F" w:rsidP="006D3CD6">
      <w:pPr>
        <w:pStyle w:val="EndnoteText"/>
        <w:ind w:left="709" w:firstLine="0"/>
      </w:pPr>
      <w:r>
        <w:t>Consider including a reference to registering the Power of Attorney, if relevant, especially if the transaction involves dealings with real property signed under the Power of Attorney or jurisdictions where the registration of powers of attorney is required, such as Tasmania.</w:t>
      </w:r>
    </w:p>
    <w:p w14:paraId="06BDE2F6" w14:textId="72DEA23C" w:rsidR="00947982" w:rsidRPr="00FD286E" w:rsidRDefault="00FD286E" w:rsidP="006D3CD6">
      <w:pPr>
        <w:pStyle w:val="EndnoteText"/>
        <w:ind w:left="709" w:firstLine="0"/>
      </w:pPr>
      <w:r w:rsidRPr="00FD286E">
        <w:rPr>
          <w:lang w:val="en-US"/>
        </w:rPr>
        <w:t xml:space="preserve">If the Agreement is being stamped for fixed duty and the law firm has included the optional wording in </w:t>
      </w:r>
      <w:r w:rsidR="0063388B">
        <w:rPr>
          <w:lang w:val="en-US"/>
        </w:rPr>
        <w:t>end</w:t>
      </w:r>
      <w:r w:rsidRPr="00FD286E">
        <w:rPr>
          <w:lang w:val="en-US"/>
        </w:rPr>
        <w:t xml:space="preserve">note </w:t>
      </w:r>
      <w:r>
        <w:rPr>
          <w:lang w:val="en-US"/>
        </w:rPr>
        <w:fldChar w:fldCharType="begin"/>
      </w:r>
      <w:r>
        <w:rPr>
          <w:lang w:val="en-US"/>
        </w:rPr>
        <w:instrText xml:space="preserve"> NOTEREF _Hlk219110112 \h </w:instrText>
      </w:r>
      <w:r>
        <w:rPr>
          <w:lang w:val="en-US"/>
        </w:rPr>
      </w:r>
      <w:r>
        <w:rPr>
          <w:lang w:val="en-US"/>
        </w:rPr>
        <w:fldChar w:fldCharType="separate"/>
      </w:r>
      <w:r>
        <w:rPr>
          <w:lang w:val="en-US"/>
        </w:rPr>
        <w:t>24</w:t>
      </w:r>
      <w:r>
        <w:rPr>
          <w:lang w:val="en-US"/>
        </w:rPr>
        <w:fldChar w:fldCharType="end"/>
      </w:r>
      <w:r w:rsidRPr="00FD286E">
        <w:rPr>
          <w:lang w:val="en-US"/>
        </w:rPr>
        <w:t>, consider including a reference to stamping for fixed duty here</w:t>
      </w:r>
      <w:r w:rsidR="00947982" w:rsidRPr="00FD286E">
        <w:rPr>
          <w:lang w:val="en-GB"/>
        </w:rPr>
        <w:t>.</w:t>
      </w:r>
    </w:p>
  </w:endnote>
  <w:endnote w:id="23">
    <w:p w14:paraId="07924B63" w14:textId="7AB4C26E" w:rsidR="006D3CD6" w:rsidRPr="007F427F" w:rsidRDefault="00777A6F">
      <w:pPr>
        <w:pStyle w:val="EndnoteText"/>
        <w:rPr>
          <w:i/>
          <w:iCs/>
        </w:rPr>
      </w:pPr>
      <w:r>
        <w:rPr>
          <w:rStyle w:val="EndnoteReference"/>
        </w:rPr>
        <w:endnoteRef/>
      </w:r>
      <w:r>
        <w:t xml:space="preserve"> </w:t>
      </w:r>
      <w:r>
        <w:tab/>
        <w:t xml:space="preserve">This opinion is heavily qualified by </w:t>
      </w:r>
      <w:r w:rsidR="00933899">
        <w:t>Q</w:t>
      </w:r>
      <w:r>
        <w:t xml:space="preserve">ualification </w:t>
      </w:r>
      <w:r>
        <w:fldChar w:fldCharType="begin"/>
      </w:r>
      <w:r>
        <w:instrText xml:space="preserve"> REF _Ref419732821 \w \h </w:instrText>
      </w:r>
      <w:r>
        <w:fldChar w:fldCharType="separate"/>
      </w:r>
      <w:r w:rsidR="0003457F">
        <w:rPr>
          <w:cs/>
        </w:rPr>
        <w:t>‎</w:t>
      </w:r>
      <w:r w:rsidR="0003457F">
        <w:t>9</w:t>
      </w:r>
      <w:r>
        <w:fldChar w:fldCharType="end"/>
      </w:r>
      <w:r>
        <w:t xml:space="preserve"> of Schedule 2.</w:t>
      </w:r>
      <w:r w:rsidR="007F427F">
        <w:t xml:space="preserve">  </w:t>
      </w:r>
    </w:p>
    <w:p w14:paraId="1262BC01" w14:textId="622196AA" w:rsidR="006D3CD6" w:rsidRDefault="00777A6F" w:rsidP="006D3CD6">
      <w:pPr>
        <w:pStyle w:val="EndnoteText"/>
        <w:ind w:firstLine="0"/>
      </w:pPr>
      <w:r>
        <w:t xml:space="preserve">The opinion as to ranking also only refers to obligations "properly" incurred, echoing the language in the opinion on the trustee's indemnity in paragraph </w:t>
      </w:r>
      <w:r>
        <w:fldChar w:fldCharType="begin"/>
      </w:r>
      <w:r>
        <w:instrText xml:space="preserve"> REF _Ref419732910 \w \h </w:instrText>
      </w:r>
      <w:r>
        <w:fldChar w:fldCharType="separate"/>
      </w:r>
      <w:r w:rsidR="0003457F">
        <w:rPr>
          <w:cs/>
        </w:rPr>
        <w:t>‎</w:t>
      </w:r>
      <w:r w:rsidR="0003457F">
        <w:t>5(c)(iii)</w:t>
      </w:r>
      <w:r>
        <w:fldChar w:fldCharType="end"/>
      </w:r>
      <w:r>
        <w:t xml:space="preserve">. </w:t>
      </w:r>
      <w:r w:rsidR="007F427F">
        <w:t xml:space="preserve"> </w:t>
      </w:r>
      <w:r>
        <w:t>References to ranking could connote ranking in terms of access to trust assets, and trust creditors only have access to trust assets through the trustee's right of indemnity, which only arises in relation to obligations properly incurred.</w:t>
      </w:r>
      <w:r w:rsidR="00352089">
        <w:t xml:space="preserve"> </w:t>
      </w:r>
    </w:p>
  </w:endnote>
  <w:endnote w:id="24">
    <w:p w14:paraId="70D33E30" w14:textId="77777777" w:rsidR="00A41260" w:rsidRPr="005101B3" w:rsidRDefault="00777A6F">
      <w:pPr>
        <w:pStyle w:val="EndnoteText"/>
      </w:pPr>
      <w:r w:rsidRPr="005101B3">
        <w:rPr>
          <w:rStyle w:val="EndnoteReference"/>
        </w:rPr>
        <w:endnoteRef/>
      </w:r>
      <w:r w:rsidRPr="005101B3">
        <w:t xml:space="preserve"> </w:t>
      </w:r>
      <w:r w:rsidRPr="005101B3">
        <w:tab/>
        <w:t xml:space="preserve">If the Agreement is being stamped for fixed duty the </w:t>
      </w:r>
      <w:r w:rsidR="004926FA" w:rsidRPr="005101B3">
        <w:t>law</w:t>
      </w:r>
      <w:r w:rsidRPr="005101B3">
        <w:t xml:space="preserve"> firm may wish to include the words “but fixed duty of $[#] is payable in [State] in relation to the declarations of trust in [name of document].”  </w:t>
      </w:r>
      <w:r w:rsidR="004926FA" w:rsidRPr="005101B3">
        <w:t>However,</w:t>
      </w:r>
      <w:r w:rsidRPr="005101B3">
        <w:t xml:space="preserve"> this is not required given the reference to ad valorem duty only.</w:t>
      </w:r>
    </w:p>
  </w:endnote>
  <w:endnote w:id="25">
    <w:p w14:paraId="7EB98C05" w14:textId="695CE774" w:rsidR="003E5FEA" w:rsidRDefault="00777A6F" w:rsidP="00EF6946">
      <w:pPr>
        <w:pStyle w:val="EndnoteText"/>
      </w:pPr>
      <w:r w:rsidRPr="005101B3">
        <w:rPr>
          <w:rStyle w:val="EndnoteReference"/>
        </w:rPr>
        <w:endnoteRef/>
      </w:r>
      <w:r w:rsidRPr="005101B3">
        <w:t xml:space="preserve"> </w:t>
      </w:r>
      <w:r w:rsidR="00BD354F" w:rsidRPr="005101B3">
        <w:tab/>
      </w:r>
      <w:r w:rsidR="007C15FA" w:rsidRPr="005101B3">
        <w:t xml:space="preserve">Where </w:t>
      </w:r>
      <w:r w:rsidR="00F37100" w:rsidRPr="005101B3">
        <w:t xml:space="preserve">the opining law firm </w:t>
      </w:r>
      <w:r w:rsidR="006E12F5" w:rsidRPr="005101B3">
        <w:t xml:space="preserve">is </w:t>
      </w:r>
      <w:r w:rsidR="00F37100" w:rsidRPr="005101B3">
        <w:t xml:space="preserve">of the view </w:t>
      </w:r>
      <w:r w:rsidR="00D96F52" w:rsidRPr="005101B3">
        <w:t xml:space="preserve">that </w:t>
      </w:r>
      <w:r w:rsidR="00B6564B" w:rsidRPr="005101B3">
        <w:t xml:space="preserve">a signature </w:t>
      </w:r>
      <w:r w:rsidR="00171B82" w:rsidRPr="005101B3">
        <w:t>also</w:t>
      </w:r>
      <w:r w:rsidR="00171B82">
        <w:t xml:space="preserve"> needs to be authenticated by the signatory and that the word </w:t>
      </w:r>
      <w:r w:rsidR="00B6564B">
        <w:t>“authentic</w:t>
      </w:r>
      <w:r w:rsidR="0072348D">
        <w:t>”</w:t>
      </w:r>
      <w:r w:rsidR="00345A85">
        <w:t xml:space="preserve"> </w:t>
      </w:r>
      <w:r w:rsidR="00F7502C">
        <w:t>does not sufficiently cover the authentication</w:t>
      </w:r>
      <w:r w:rsidR="00986A71">
        <w:t>,</w:t>
      </w:r>
      <w:r w:rsidR="00FC1109">
        <w:t xml:space="preserve"> </w:t>
      </w:r>
      <w:r w:rsidR="00AA7585">
        <w:t>th</w:t>
      </w:r>
      <w:r w:rsidR="00415A6C">
        <w:t xml:space="preserve">e law firm </w:t>
      </w:r>
      <w:r w:rsidR="00AA7585">
        <w:t>may</w:t>
      </w:r>
      <w:r w:rsidR="00DB52E2">
        <w:t xml:space="preserve"> amend this assumption to read</w:t>
      </w:r>
      <w:r w:rsidR="00407F35">
        <w:t>:</w:t>
      </w:r>
    </w:p>
    <w:p w14:paraId="6B69652F" w14:textId="2C2831D9" w:rsidR="00407F35" w:rsidRDefault="00DB52E2" w:rsidP="00DB52E2">
      <w:pPr>
        <w:pStyle w:val="EndnoteText"/>
        <w:ind w:left="1440" w:firstLine="0"/>
      </w:pPr>
      <w:r>
        <w:rPr>
          <w:rFonts w:eastAsia="SimSun"/>
        </w:rPr>
        <w:t xml:space="preserve">"All dates, signatures, seals and duty markings are </w:t>
      </w:r>
      <w:r>
        <w:rPr>
          <w:rFonts w:eastAsia="SimSun"/>
        </w:rPr>
        <w:t>authentic and all signatures are made by, or applied with the authority of, the</w:t>
      </w:r>
      <w:r w:rsidR="00236ED2">
        <w:rPr>
          <w:rFonts w:eastAsia="SimSun"/>
        </w:rPr>
        <w:t xml:space="preserve"> relevant</w:t>
      </w:r>
      <w:r>
        <w:rPr>
          <w:rFonts w:eastAsia="SimSun"/>
        </w:rPr>
        <w:t xml:space="preserve"> signatory</w:t>
      </w:r>
      <w:r w:rsidR="00777A6F">
        <w:rPr>
          <w:rFonts w:eastAsia="SimSun"/>
        </w:rPr>
        <w:t>.”</w:t>
      </w:r>
      <w:r w:rsidR="005A7FC5">
        <w:rPr>
          <w:rFonts w:eastAsia="SimSun"/>
        </w:rPr>
        <w:t xml:space="preserve"> </w:t>
      </w:r>
    </w:p>
  </w:endnote>
  <w:endnote w:id="26">
    <w:p w14:paraId="3C5A6C39" w14:textId="77777777" w:rsidR="006D3CD6" w:rsidRDefault="00777A6F">
      <w:pPr>
        <w:pStyle w:val="EndnoteText"/>
      </w:pPr>
      <w:r>
        <w:rPr>
          <w:rStyle w:val="EndnoteReference"/>
        </w:rPr>
        <w:endnoteRef/>
      </w:r>
      <w:r>
        <w:t xml:space="preserve"> </w:t>
      </w:r>
      <w:r>
        <w:tab/>
      </w:r>
      <w:r w:rsidRPr="001C1E75">
        <w:t>If a transaction involves financial assistance or financial benefit, the relevant part of the assumption may not be able to be made.  In those circumstances the assumption should be tailored to the transaction and evidence of compliance with financial assistance and financial benefit legislation received.</w:t>
      </w:r>
    </w:p>
    <w:p w14:paraId="62258165" w14:textId="49D51C28" w:rsidR="007D30EF" w:rsidRDefault="007D30EF" w:rsidP="007D30EF">
      <w:pPr>
        <w:pStyle w:val="EndnoteText"/>
        <w:ind w:firstLine="0"/>
      </w:pPr>
      <w:r>
        <w:t>Otherwise, w</w:t>
      </w:r>
      <w:r w:rsidRPr="007D30EF">
        <w:t>hen dealing with a transaction that involves a managed investment scheme, this should also refer to Part 5C.7 of the Corporations Act which applies Chapter 2E (with modifications) to managed investment schemes.</w:t>
      </w:r>
    </w:p>
  </w:endnote>
  <w:endnote w:id="27">
    <w:p w14:paraId="73F6A2A4" w14:textId="77777777" w:rsidR="006D3CD6" w:rsidRDefault="00777A6F">
      <w:pPr>
        <w:pStyle w:val="EndnoteText"/>
      </w:pPr>
      <w:r>
        <w:rPr>
          <w:rStyle w:val="EndnoteReference"/>
        </w:rPr>
        <w:endnoteRef/>
      </w:r>
      <w:r>
        <w:t xml:space="preserve"> </w:t>
      </w:r>
      <w:r>
        <w:tab/>
        <w:t>This paragraph is designed to cover the possibility that, for example, while a borrower may be empowered to enter into a loan agreement, it could borrow the funds for a purpose beyond its power, in which case it could be argued that it does not have the power to repay those funds.</w:t>
      </w:r>
    </w:p>
  </w:endnote>
  <w:endnote w:id="28">
    <w:p w14:paraId="57CA68E9" w14:textId="5ACA356B" w:rsidR="006D3CD6" w:rsidRDefault="00777A6F" w:rsidP="006D3CD6">
      <w:pPr>
        <w:pStyle w:val="EndnoteText"/>
      </w:pPr>
      <w:r>
        <w:rPr>
          <w:rStyle w:val="EndnoteReference"/>
        </w:rPr>
        <w:endnoteRef/>
      </w:r>
      <w:r>
        <w:t xml:space="preserve"> </w:t>
      </w:r>
      <w:r>
        <w:tab/>
        <w:t xml:space="preserve">It is not appropriate for the opinion to opine on whether the trust is a registered managed investment scheme because registrability arises from matters of fact. </w:t>
      </w:r>
      <w:r w:rsidR="007F427F">
        <w:t xml:space="preserve"> </w:t>
      </w:r>
      <w:r>
        <w:t>If a Trust is a registered managed investment scheme, the opining firm may conduct and refer to searches with ASIC of the scheme and should consider whether it should advise its client about, or refer in the opinion to, specific issues arising under Chapter 5C of the Corporations Act, including, without limitation, the statutory duties of the responsible entity, its officers and employees, or Part 5C.7.</w:t>
      </w:r>
    </w:p>
  </w:endnote>
  <w:endnote w:id="29">
    <w:p w14:paraId="0B278BE3" w14:textId="551C4EFF" w:rsidR="006D3CD6" w:rsidRPr="00154D69" w:rsidRDefault="00777A6F" w:rsidP="006D3CD6">
      <w:pPr>
        <w:pStyle w:val="EndnoteText"/>
      </w:pPr>
      <w:r w:rsidRPr="00154D69">
        <w:rPr>
          <w:rStyle w:val="EndnoteReference"/>
        </w:rPr>
        <w:endnoteRef/>
      </w:r>
      <w:r>
        <w:t xml:space="preserve"> </w:t>
      </w:r>
      <w:r>
        <w:tab/>
        <w:t xml:space="preserve">Strictly, it is the </w:t>
      </w:r>
      <w:r w:rsidR="008B62C3">
        <w:t xml:space="preserve">addressee </w:t>
      </w:r>
      <w:r>
        <w:t>that relies on the assumptions</w:t>
      </w:r>
      <w:r w:rsidR="008B62C3">
        <w:t xml:space="preserve"> (as the </w:t>
      </w:r>
      <w:r w:rsidR="00D266CA">
        <w:t>O</w:t>
      </w:r>
      <w:r w:rsidR="008B62C3">
        <w:t>bligor’s transacting counterparty)</w:t>
      </w:r>
      <w:r>
        <w:t xml:space="preserve">, but the opining firm is asked to opine as to various statements that strictly rely on the same assumptions.  </w:t>
      </w:r>
      <w:r w:rsidRPr="00154D69">
        <w:t>An opining firm may be asked to expand this paragraph to</w:t>
      </w:r>
      <w:r>
        <w:t xml:space="preserve"> say that the addressee may make the assumptions unless they "knew or suspected that the assumption was incorrect". </w:t>
      </w:r>
      <w:r w:rsidR="007F427F">
        <w:t xml:space="preserve"> </w:t>
      </w:r>
      <w:r>
        <w:t xml:space="preserve">As this merely restates the language in section 128(4) of the Corporations Act, the </w:t>
      </w:r>
      <w:r w:rsidRPr="00154D69">
        <w:t xml:space="preserve">opining </w:t>
      </w:r>
      <w:r>
        <w:t xml:space="preserve">firm may be prepared to expand the paragraph accordingly. </w:t>
      </w:r>
    </w:p>
  </w:endnote>
  <w:endnote w:id="30">
    <w:p w14:paraId="072E43C2" w14:textId="77777777" w:rsidR="006D3CD6" w:rsidRDefault="00777A6F">
      <w:pPr>
        <w:pStyle w:val="EndnoteText"/>
      </w:pPr>
      <w:r>
        <w:rPr>
          <w:rStyle w:val="EndnoteReference"/>
        </w:rPr>
        <w:endnoteRef/>
      </w:r>
      <w:r>
        <w:t xml:space="preserve"> </w:t>
      </w:r>
      <w:r>
        <w:tab/>
      </w:r>
      <w:r w:rsidRPr="00035862">
        <w:t>Retain this text if the Agreement is executed by an Obligor under a Power of Attorney.</w:t>
      </w:r>
    </w:p>
  </w:endnote>
  <w:endnote w:id="31">
    <w:p w14:paraId="14EA171C" w14:textId="596BD79C" w:rsidR="006D3CD6" w:rsidRDefault="00777A6F" w:rsidP="006D3CD6">
      <w:pPr>
        <w:pStyle w:val="EndnoteText"/>
      </w:pPr>
      <w:r w:rsidRPr="00154D69">
        <w:rPr>
          <w:rStyle w:val="EndnoteReference"/>
        </w:rPr>
        <w:endnoteRef/>
      </w:r>
      <w:r w:rsidRPr="00154D69">
        <w:t xml:space="preserve"> </w:t>
      </w:r>
      <w:r w:rsidRPr="00154D69">
        <w:tab/>
      </w:r>
      <w:r w:rsidRPr="000D2E91">
        <w:t xml:space="preserve">Solvency is </w:t>
      </w:r>
      <w:r>
        <w:t xml:space="preserve">a question of fact. </w:t>
      </w:r>
      <w:r w:rsidR="007F427F">
        <w:t xml:space="preserve"> </w:t>
      </w:r>
      <w:r>
        <w:t xml:space="preserve">It is </w:t>
      </w:r>
      <w:r w:rsidRPr="000D2E91">
        <w:t>relevant to</w:t>
      </w:r>
      <w:r>
        <w:t>:</w:t>
      </w:r>
    </w:p>
    <w:p w14:paraId="73855866" w14:textId="77777777" w:rsidR="006D3CD6" w:rsidRDefault="00777A6F" w:rsidP="006D3CD6">
      <w:pPr>
        <w:pStyle w:val="EndnoteText"/>
        <w:ind w:left="2160"/>
      </w:pPr>
      <w:r>
        <w:t xml:space="preserve">(a) </w:t>
      </w:r>
      <w:r>
        <w:tab/>
        <w:t>"c</w:t>
      </w:r>
      <w:r w:rsidRPr="000D2E91">
        <w:t xml:space="preserve">orporate benefit" and </w:t>
      </w:r>
      <w:r>
        <w:t xml:space="preserve">to </w:t>
      </w:r>
      <w:r w:rsidRPr="000D2E91">
        <w:t xml:space="preserve">the use of s 187 </w:t>
      </w:r>
      <w:r>
        <w:t>of the Corporations Act;</w:t>
      </w:r>
      <w:r w:rsidRPr="000D2E91">
        <w:t xml:space="preserve"> </w:t>
      </w:r>
    </w:p>
    <w:p w14:paraId="5D9D28FB" w14:textId="77777777" w:rsidR="006D3CD6" w:rsidRDefault="00777A6F" w:rsidP="006D3CD6">
      <w:pPr>
        <w:pStyle w:val="EndnoteText"/>
        <w:ind w:left="2160"/>
      </w:pPr>
      <w:r w:rsidRPr="00491E6C">
        <w:t>(b)</w:t>
      </w:r>
      <w:r w:rsidRPr="00491E6C">
        <w:tab/>
      </w:r>
      <w:r>
        <w:t>compliance with trustee duties; and</w:t>
      </w:r>
    </w:p>
    <w:p w14:paraId="7139FC9F" w14:textId="77777777" w:rsidR="006D3CD6" w:rsidRDefault="00777A6F" w:rsidP="006D3CD6">
      <w:pPr>
        <w:pStyle w:val="EndnoteText"/>
        <w:ind w:left="2160"/>
      </w:pPr>
      <w:r>
        <w:t xml:space="preserve">(c) </w:t>
      </w:r>
      <w:r>
        <w:tab/>
      </w:r>
      <w:r w:rsidRPr="000D2E91">
        <w:t>the impact of insolvency provisions under the Corporations Act (</w:t>
      </w:r>
      <w:r>
        <w:t>including, without limitation,</w:t>
      </w:r>
      <w:r w:rsidRPr="000D2E91">
        <w:t xml:space="preserve"> the voidable transactions provisions in Division 2 of Part 5.7 of the Corporations Act</w:t>
      </w:r>
      <w:r>
        <w:t>, which</w:t>
      </w:r>
      <w:r w:rsidRPr="000D2E91">
        <w:t xml:space="preserve"> look at insolvency at various times, not just when the transaction is </w:t>
      </w:r>
      <w:r w:rsidRPr="000D2E91">
        <w:t>entered into).</w:t>
      </w:r>
    </w:p>
    <w:p w14:paraId="589D5EFD" w14:textId="5A0E6643" w:rsidR="006D3CD6" w:rsidRPr="005101B3" w:rsidRDefault="00777A6F" w:rsidP="006D3CD6">
      <w:pPr>
        <w:pStyle w:val="EndnoteText"/>
        <w:ind w:firstLine="0"/>
      </w:pPr>
      <w:r>
        <w:t xml:space="preserve">This assumption has been limited to apply at the date of entry into the documents, allowing lenders to perform due diligence before entering into the documents to satisfy themselves as to the solvency of the </w:t>
      </w:r>
      <w:r w:rsidR="001042DF">
        <w:t xml:space="preserve">relevant </w:t>
      </w:r>
      <w:r w:rsidR="00616BF1">
        <w:t xml:space="preserve">Obligor </w:t>
      </w:r>
      <w:r>
        <w:t>as a factual matter.</w:t>
      </w:r>
      <w:r w:rsidR="007F427F">
        <w:t xml:space="preserve"> </w:t>
      </w:r>
      <w:r>
        <w:t xml:space="preserve"> I</w:t>
      </w:r>
      <w:r w:rsidRPr="000D2E91">
        <w:t>t can be argued that this assumption is not strictly necessary</w:t>
      </w:r>
      <w:r>
        <w:t xml:space="preserve"> </w:t>
      </w:r>
      <w:r w:rsidRPr="000D2E91">
        <w:t>and is only there to reinforce the point that opining counsel is not examining this important fact</w:t>
      </w:r>
      <w:r>
        <w:t xml:space="preserve">, for the following reasons. </w:t>
      </w:r>
      <w:r w:rsidR="007F427F">
        <w:t xml:space="preserve"> </w:t>
      </w:r>
      <w:r>
        <w:t>T</w:t>
      </w:r>
      <w:r w:rsidRPr="000D2E91">
        <w:t xml:space="preserve">he </w:t>
      </w:r>
      <w:r>
        <w:t xml:space="preserve">"corporate benefit" issue is </w:t>
      </w:r>
      <w:r w:rsidRPr="000D2E91">
        <w:t xml:space="preserve">covered by Assumption </w:t>
      </w:r>
      <w:r>
        <w:fldChar w:fldCharType="begin"/>
      </w:r>
      <w:r>
        <w:instrText xml:space="preserve"> REF _Ref428437115 \w \h </w:instrText>
      </w:r>
      <w:r>
        <w:fldChar w:fldCharType="separate"/>
      </w:r>
      <w:r w:rsidR="0003457F">
        <w:rPr>
          <w:cs/>
        </w:rPr>
        <w:t>‎</w:t>
      </w:r>
      <w:r w:rsidR="0003457F">
        <w:t>8</w:t>
      </w:r>
      <w:r>
        <w:fldChar w:fldCharType="end"/>
      </w:r>
      <w:r w:rsidRPr="000D2E91">
        <w:t xml:space="preserve"> in Schedule 1</w:t>
      </w:r>
      <w:r>
        <w:t xml:space="preserve">. Compliance with trustee duties is covered by </w:t>
      </w:r>
      <w:r w:rsidR="00933899">
        <w:t>A</w:t>
      </w:r>
      <w:r>
        <w:t xml:space="preserve">ssumption </w:t>
      </w:r>
      <w:r>
        <w:fldChar w:fldCharType="begin"/>
      </w:r>
      <w:r>
        <w:instrText xml:space="preserve"> REF _Ref428450544 \w \h </w:instrText>
      </w:r>
      <w:r>
        <w:fldChar w:fldCharType="separate"/>
      </w:r>
      <w:r w:rsidR="0003457F">
        <w:rPr>
          <w:cs/>
        </w:rPr>
        <w:t>‎</w:t>
      </w:r>
      <w:r w:rsidR="0003457F">
        <w:t>7</w:t>
      </w:r>
      <w:r>
        <w:fldChar w:fldCharType="end"/>
      </w:r>
      <w:r>
        <w:t xml:space="preserve"> of Schedule 1.</w:t>
      </w:r>
      <w:r w:rsidR="007F427F">
        <w:t xml:space="preserve"> </w:t>
      </w:r>
      <w:r>
        <w:t xml:space="preserve"> In relation to the impact of insolvency provisions under the Corporations Act, </w:t>
      </w:r>
      <w:r w:rsidR="00933899">
        <w:t>Q</w:t>
      </w:r>
      <w:r w:rsidRPr="000D2E91">
        <w:t xml:space="preserve">ualification </w:t>
      </w:r>
      <w:r>
        <w:fldChar w:fldCharType="begin"/>
      </w:r>
      <w:r>
        <w:instrText xml:space="preserve"> REF _Ref428437134 \w \h </w:instrText>
      </w:r>
      <w:r>
        <w:fldChar w:fldCharType="separate"/>
      </w:r>
      <w:r w:rsidR="0003457F">
        <w:rPr>
          <w:cs/>
        </w:rPr>
        <w:t>‎</w:t>
      </w:r>
      <w:r w:rsidR="0003457F">
        <w:t>1(b)</w:t>
      </w:r>
      <w:r>
        <w:fldChar w:fldCharType="end"/>
      </w:r>
      <w:r>
        <w:t xml:space="preserve"> </w:t>
      </w:r>
      <w:r w:rsidRPr="000D2E91">
        <w:t xml:space="preserve">in Schedule 2 </w:t>
      </w:r>
      <w:r>
        <w:t xml:space="preserve">makes it </w:t>
      </w:r>
      <w:r w:rsidRPr="000D2E91">
        <w:t xml:space="preserve">clear that the opinion excludes laws relating </w:t>
      </w:r>
      <w:r w:rsidRPr="005101B3">
        <w:t xml:space="preserve">to insolvency. </w:t>
      </w:r>
      <w:r w:rsidR="007F427F" w:rsidRPr="005101B3">
        <w:t xml:space="preserve"> </w:t>
      </w:r>
      <w:r w:rsidRPr="005101B3">
        <w:t>Accordingly, opining firms may choose a different approach with this assumption.</w:t>
      </w:r>
    </w:p>
  </w:endnote>
  <w:endnote w:id="32">
    <w:p w14:paraId="2851FA3C" w14:textId="2F01346A" w:rsidR="00A41260" w:rsidRPr="005101B3" w:rsidRDefault="00777A6F" w:rsidP="002E7415">
      <w:pPr>
        <w:pStyle w:val="EndnoteText"/>
      </w:pPr>
      <w:r w:rsidRPr="005101B3">
        <w:rPr>
          <w:rStyle w:val="EndnoteReference"/>
        </w:rPr>
        <w:endnoteRef/>
      </w:r>
      <w:r w:rsidRPr="005101B3">
        <w:t xml:space="preserve"> </w:t>
      </w:r>
      <w:r w:rsidRPr="005101B3">
        <w:tab/>
      </w:r>
      <w:r w:rsidR="002E7415" w:rsidRPr="005101B3">
        <w:t>There may be industry codes</w:t>
      </w:r>
      <w:r w:rsidR="008B62C3" w:rsidRPr="005101B3">
        <w:t xml:space="preserve"> (</w:t>
      </w:r>
      <w:r w:rsidR="008B62C3" w:rsidRPr="005101B3">
        <w:t>eg the Franchising Code of Conduct and the Oil Code of Conduct – there are numerous others and many are published on the ACCC website)</w:t>
      </w:r>
      <w:r w:rsidR="002E7415" w:rsidRPr="005101B3">
        <w:t xml:space="preserve"> that apply to the Obligor or other persons which may contain certain requirements that the transaction could breach, or which require authorisations to be obtained or dispute resolution procedures to be followed.  Whether these codes apply to a party to the Agreement is a matter for advice</w:t>
      </w:r>
      <w:r w:rsidR="00D03673" w:rsidRPr="005101B3">
        <w:t xml:space="preserve"> to the client, not a </w:t>
      </w:r>
      <w:r w:rsidR="00BF66BC" w:rsidRPr="005101B3">
        <w:t xml:space="preserve">legal </w:t>
      </w:r>
      <w:r w:rsidR="00D03673" w:rsidRPr="005101B3">
        <w:t>opinion</w:t>
      </w:r>
      <w:r w:rsidR="002E7415" w:rsidRPr="005101B3">
        <w:t>.</w:t>
      </w:r>
    </w:p>
  </w:endnote>
  <w:endnote w:id="33">
    <w:p w14:paraId="5D49B771" w14:textId="18497119" w:rsidR="005A7FC5" w:rsidRPr="00154D69" w:rsidRDefault="005A7FC5" w:rsidP="005A7FC5">
      <w:pPr>
        <w:pStyle w:val="EndnoteText"/>
      </w:pPr>
      <w:r w:rsidRPr="005101B3">
        <w:rPr>
          <w:rStyle w:val="EndnoteReference"/>
        </w:rPr>
        <w:endnoteRef/>
      </w:r>
      <w:r w:rsidRPr="005101B3">
        <w:t xml:space="preserve"> </w:t>
      </w:r>
      <w:r w:rsidRPr="005101B3">
        <w:tab/>
        <w:t xml:space="preserve">This goes to enforceability due to the potential application of section 925A of the Corporations Act.  That section allows a counterparty to rescind an agreement it </w:t>
      </w:r>
      <w:r w:rsidRPr="005101B3">
        <w:t>enters into with a non-licensee (in the</w:t>
      </w:r>
      <w:r w:rsidRPr="00F7502C">
        <w:t xml:space="preserve"> course of a financial services business carried on by the non-licensee) in certain circumstances.  </w:t>
      </w:r>
    </w:p>
  </w:endnote>
  <w:endnote w:id="34">
    <w:p w14:paraId="6BF99FF8" w14:textId="5ACD64E2" w:rsidR="006D3CD6" w:rsidRPr="00154D69" w:rsidRDefault="00777A6F" w:rsidP="006D3CD6">
      <w:pPr>
        <w:pStyle w:val="EndnoteText"/>
      </w:pPr>
      <w:r w:rsidRPr="00154D69">
        <w:rPr>
          <w:rStyle w:val="EndnoteReference"/>
        </w:rPr>
        <w:endnoteRef/>
      </w:r>
      <w:r w:rsidRPr="00154D69">
        <w:t xml:space="preserve"> </w:t>
      </w:r>
      <w:r w:rsidRPr="00154D69">
        <w:tab/>
      </w:r>
      <w:r w:rsidR="00C87665">
        <w:t>It is rare for s</w:t>
      </w:r>
      <w:r w:rsidRPr="00154D69">
        <w:t xml:space="preserve">tamp duty </w:t>
      </w:r>
      <w:r w:rsidR="00C87665">
        <w:t>to</w:t>
      </w:r>
      <w:r w:rsidR="008B62C3" w:rsidRPr="00154D69">
        <w:t xml:space="preserve"> </w:t>
      </w:r>
      <w:r w:rsidRPr="00154D69">
        <w:t xml:space="preserve">have been paid by </w:t>
      </w:r>
      <w:r>
        <w:t xml:space="preserve">the date the opinion is given. </w:t>
      </w:r>
      <w:r w:rsidR="007F427F">
        <w:t xml:space="preserve"> </w:t>
      </w:r>
      <w:r>
        <w:t>Stamp duty may also depend on questions of fact, like values or amounts secured.</w:t>
      </w:r>
      <w:r w:rsidR="007F427F">
        <w:t xml:space="preserve"> </w:t>
      </w:r>
      <w:r>
        <w:t xml:space="preserve"> </w:t>
      </w:r>
      <w:r w:rsidRPr="00154D69">
        <w:t>In more complicated transactions, stamp duty may be</w:t>
      </w:r>
      <w:r>
        <w:t xml:space="preserve"> the</w:t>
      </w:r>
      <w:r w:rsidRPr="00154D69">
        <w:t xml:space="preserve"> subject of separate advice or a separate specific opinion, not necessarily in the standard form closing opinion.</w:t>
      </w:r>
      <w:r>
        <w:t xml:space="preserve">  The opining firm may wish to include an appropriate exclusion from this assumption if it is opining on stamp duty in this opinion. </w:t>
      </w:r>
    </w:p>
  </w:endnote>
  <w:endnote w:id="35">
    <w:p w14:paraId="013E144A" w14:textId="328EE911" w:rsidR="003B405F" w:rsidRPr="00A03A9A" w:rsidRDefault="00777A6F" w:rsidP="003B405F">
      <w:pPr>
        <w:pStyle w:val="EndnoteText"/>
      </w:pPr>
      <w:r>
        <w:rPr>
          <w:rStyle w:val="EndnoteReference"/>
        </w:rPr>
        <w:endnoteRef/>
      </w:r>
      <w:r>
        <w:t xml:space="preserve"> </w:t>
      </w:r>
      <w:r>
        <w:tab/>
        <w:t xml:space="preserve">This assumption should be included where witnessing of a signature is necessary for the document to be effective, </w:t>
      </w:r>
      <w:r>
        <w:t>eg execution of a deed by an individual (except under Victorian or Queensland law).</w:t>
      </w:r>
      <w:r w:rsidR="00420201">
        <w:t xml:space="preserve"> </w:t>
      </w:r>
      <w:r w:rsidR="007F427F">
        <w:t xml:space="preserve"> </w:t>
      </w:r>
      <w:r>
        <w:t xml:space="preserve">Failure to satisfy requirements may invalidate the deed but </w:t>
      </w:r>
      <w:r w:rsidR="00420201">
        <w:t>this is</w:t>
      </w:r>
      <w:r>
        <w:t xml:space="preserve"> a question of fact. </w:t>
      </w:r>
      <w:r w:rsidR="007F427F">
        <w:t xml:space="preserve"> </w:t>
      </w:r>
      <w:r w:rsidR="009B5110">
        <w:t xml:space="preserve">For </w:t>
      </w:r>
      <w:r w:rsidR="009B5110">
        <w:t>example</w:t>
      </w:r>
      <w:r>
        <w:t xml:space="preserve"> the attestation must be at the same time as </w:t>
      </w:r>
      <w:r w:rsidR="00420201">
        <w:t>a signature</w:t>
      </w:r>
      <w:r>
        <w:t xml:space="preserve">, </w:t>
      </w:r>
      <w:r w:rsidR="005A19F1" w:rsidRPr="00F7450E">
        <w:t>the witness must observe the signatory signing</w:t>
      </w:r>
      <w:r w:rsidR="005A19F1" w:rsidRPr="005A19F1">
        <w:t xml:space="preserve"> </w:t>
      </w:r>
      <w:r>
        <w:t>and except where statutory remote witnessing applies</w:t>
      </w:r>
      <w:r w:rsidR="00420201">
        <w:t xml:space="preserve">, the </w:t>
      </w:r>
      <w:r w:rsidR="00C25582">
        <w:t>witness</w:t>
      </w:r>
      <w:r>
        <w:t xml:space="preserve"> must be </w:t>
      </w:r>
      <w:r w:rsidR="00420201">
        <w:t xml:space="preserve">physically </w:t>
      </w:r>
      <w:r>
        <w:t>present</w:t>
      </w:r>
      <w:r w:rsidR="00420201">
        <w:t xml:space="preserve"> (see </w:t>
      </w:r>
      <w:r w:rsidR="00420201">
        <w:rPr>
          <w:i/>
        </w:rPr>
        <w:t>Netglory Pty Ltd v Caratti</w:t>
      </w:r>
      <w:r w:rsidR="00420201">
        <w:t xml:space="preserve"> [2013] WASC 364)</w:t>
      </w:r>
      <w:r>
        <w:t xml:space="preserve">. </w:t>
      </w:r>
      <w:r w:rsidR="007F427F">
        <w:t xml:space="preserve"> </w:t>
      </w:r>
      <w:r>
        <w:t>Where remote witnessing is permitted under statute, the statute may specify procedural requirements and a statement of compliance by the witness (</w:t>
      </w:r>
      <w:r w:rsidR="009B5110">
        <w:t>eg</w:t>
      </w:r>
      <w:r>
        <w:t xml:space="preserve"> s14G(2) </w:t>
      </w:r>
      <w:r>
        <w:rPr>
          <w:i/>
          <w:iCs/>
        </w:rPr>
        <w:t xml:space="preserve">Electronic Transactions Act 2000 </w:t>
      </w:r>
      <w:r>
        <w:t>(NSW)</w:t>
      </w:r>
      <w:r w:rsidR="00420201">
        <w:t>)</w:t>
      </w:r>
      <w:r w:rsidR="005A7FC5">
        <w:t>.</w:t>
      </w:r>
    </w:p>
  </w:endnote>
  <w:endnote w:id="36">
    <w:p w14:paraId="627AD491" w14:textId="77777777" w:rsidR="006D3CD6" w:rsidRDefault="00777A6F" w:rsidP="006D3CD6">
      <w:pPr>
        <w:pStyle w:val="EndnoteText"/>
      </w:pPr>
      <w:r>
        <w:rPr>
          <w:rStyle w:val="EndnoteReference"/>
        </w:rPr>
        <w:endnoteRef/>
      </w:r>
      <w:r>
        <w:t xml:space="preserve"> </w:t>
      </w:r>
      <w:r>
        <w:tab/>
        <w:t>The opining firm could consider including the following sentence at the end of this paragraph:</w:t>
      </w:r>
    </w:p>
    <w:p w14:paraId="1D39B909" w14:textId="77777777" w:rsidR="006D3CD6" w:rsidRDefault="00777A6F" w:rsidP="006D3CD6">
      <w:pPr>
        <w:pStyle w:val="EndnoteText"/>
        <w:ind w:left="1276" w:firstLine="0"/>
      </w:pPr>
      <w:r>
        <w:t>"We have also assumed, with respect to each addressee of this opinion, that that addressee does not know or suspect that any of the assumptions is incorrect."</w:t>
      </w:r>
    </w:p>
    <w:p w14:paraId="4A7C597F" w14:textId="77777777" w:rsidR="006D3CD6" w:rsidRDefault="00777A6F" w:rsidP="006D3CD6">
      <w:pPr>
        <w:pStyle w:val="EndnoteText"/>
        <w:ind w:left="709" w:firstLine="0"/>
      </w:pPr>
      <w:r>
        <w:t>Strictly, however, the sentence is not necessary – as the opining firm is assuming that the matters set out in Schedule 1 are in fact correct, nothing is added by a further assumption that an addressee of the opinion is not aware of any assumption being incorrect.</w:t>
      </w:r>
    </w:p>
  </w:endnote>
  <w:endnote w:id="37">
    <w:p w14:paraId="1F824511" w14:textId="77777777" w:rsidR="006D3CD6" w:rsidRDefault="00777A6F">
      <w:pPr>
        <w:pStyle w:val="EndnoteText"/>
      </w:pPr>
      <w:bookmarkStart w:id="155" w:name="_DV_C110"/>
      <w:r>
        <w:rPr>
          <w:rStyle w:val="EndnoteReference"/>
        </w:rPr>
        <w:endnoteRef/>
      </w:r>
      <w:r>
        <w:t xml:space="preserve"> </w:t>
      </w:r>
      <w:r>
        <w:tab/>
      </w:r>
      <w:r w:rsidRPr="00035862">
        <w:t xml:space="preserve">It has been common practice in the past for opinions to include a (sometimes extensive) list of additional qualifications.  The opinion is prepared on the "less is more" </w:t>
      </w:r>
      <w:r w:rsidRPr="00035862">
        <w:t>principle, and avoids the risk that a list of specific qualifications covering specific examples of generally applicable issues could raise questions as to whether other examples also need to be covered.  Qu</w:t>
      </w:r>
      <w:r>
        <w:t>alification 1 of Schedule 2</w:t>
      </w:r>
      <w:r w:rsidRPr="00035862">
        <w:t xml:space="preserve"> makes it clear that it applies generally</w:t>
      </w:r>
      <w:r>
        <w:t>.</w:t>
      </w:r>
    </w:p>
    <w:bookmarkEnd w:id="155"/>
  </w:endnote>
  <w:endnote w:id="38">
    <w:p w14:paraId="63A04E2D" w14:textId="77777777" w:rsidR="006D3CD6" w:rsidRDefault="00777A6F">
      <w:pPr>
        <w:pStyle w:val="EndnoteText"/>
      </w:pPr>
      <w:r>
        <w:rPr>
          <w:rStyle w:val="EndnoteReference"/>
        </w:rPr>
        <w:endnoteRef/>
      </w:r>
      <w:r>
        <w:t xml:space="preserve"> </w:t>
      </w:r>
      <w:r>
        <w:tab/>
      </w:r>
      <w:r w:rsidRPr="00645D7E">
        <w:t>The reference to "courts retaining their ability to adjudicate" recognises the fact that courts may reserve the right to adjudicate on matters such as whether the court should give full effect to: (a) an indemnity for legal costs; (b) a provision that states that a calculation, determination or certificate will be conclusive and binding; or (c) a provision that allows an illegal, invalid or unenforceable provision to be severed from a document.</w:t>
      </w:r>
    </w:p>
  </w:endnote>
  <w:endnote w:id="39">
    <w:p w14:paraId="1F4C9607" w14:textId="5B8051E0" w:rsidR="00350F87" w:rsidRDefault="00777A6F" w:rsidP="00350F87">
      <w:pPr>
        <w:pStyle w:val="EndnoteText"/>
      </w:pPr>
      <w:r>
        <w:rPr>
          <w:rStyle w:val="EndnoteReference"/>
        </w:rPr>
        <w:endnoteRef/>
      </w:r>
      <w:r>
        <w:t xml:space="preserve"> </w:t>
      </w:r>
      <w:r>
        <w:tab/>
      </w:r>
      <w:r w:rsidRPr="00645D7E">
        <w:t>This is designed to cover general undertakings e</w:t>
      </w:r>
      <w:r w:rsidR="00256A34">
        <w:t>.</w:t>
      </w:r>
      <w:r w:rsidRPr="00645D7E">
        <w:t>g</w:t>
      </w:r>
      <w:r w:rsidR="00256A34">
        <w:t>.</w:t>
      </w:r>
      <w:r>
        <w:t xml:space="preserve"> </w:t>
      </w:r>
      <w:r w:rsidRPr="00645D7E">
        <w:t>as to the conduct of its business, or to comply with other agreements.</w:t>
      </w:r>
      <w:r w:rsidR="007F427F">
        <w:t xml:space="preserve"> </w:t>
      </w:r>
      <w:r w:rsidRPr="00645D7E">
        <w:t xml:space="preserve"> The extent of such obligations will not be possible to determine without extensive due diligence which is beyond the scope of the opinion.</w:t>
      </w:r>
    </w:p>
  </w:endnote>
  <w:endnote w:id="40">
    <w:p w14:paraId="607992E3" w14:textId="77777777" w:rsidR="009007A9" w:rsidRDefault="009007A9" w:rsidP="009007A9">
      <w:pPr>
        <w:pStyle w:val="EndnoteText"/>
        <w:rPr>
          <w:b/>
          <w:bCs/>
        </w:rPr>
      </w:pPr>
      <w:r>
        <w:rPr>
          <w:rStyle w:val="EndnoteReference"/>
        </w:rPr>
        <w:endnoteRef/>
      </w:r>
      <w:r>
        <w:t xml:space="preserve"> </w:t>
      </w:r>
      <w:r>
        <w:tab/>
      </w:r>
      <w:r w:rsidRPr="003B190D">
        <w:rPr>
          <w:b/>
          <w:bCs/>
        </w:rPr>
        <w:t>UCT</w:t>
      </w:r>
      <w:r>
        <w:rPr>
          <w:b/>
          <w:bCs/>
        </w:rPr>
        <w:t xml:space="preserve"> and own client opinions generally</w:t>
      </w:r>
    </w:p>
    <w:p w14:paraId="3304F5CB" w14:textId="237EA45F" w:rsidR="009007A9" w:rsidRDefault="009007A9" w:rsidP="009007A9">
      <w:pPr>
        <w:pStyle w:val="EndnoteText"/>
        <w:ind w:firstLine="0"/>
      </w:pPr>
      <w:r>
        <w:t xml:space="preserve">There are three alternative qualifications relating to UCT laws, explained in notes </w:t>
      </w:r>
      <w:r w:rsidR="00221671">
        <w:fldChar w:fldCharType="begin"/>
      </w:r>
      <w:r w:rsidR="00221671">
        <w:instrText xml:space="preserve"> NOTEREF _Ref213678255 \h </w:instrText>
      </w:r>
      <w:r w:rsidR="00221671">
        <w:fldChar w:fldCharType="separate"/>
      </w:r>
      <w:r w:rsidR="0003457F">
        <w:t>41</w:t>
      </w:r>
      <w:r w:rsidR="00221671">
        <w:fldChar w:fldCharType="end"/>
      </w:r>
      <w:r w:rsidR="00221671">
        <w:t xml:space="preserve"> </w:t>
      </w:r>
      <w:r>
        <w:t xml:space="preserve">to </w:t>
      </w:r>
      <w:r w:rsidR="00221671">
        <w:fldChar w:fldCharType="begin"/>
      </w:r>
      <w:r w:rsidR="00221671">
        <w:instrText xml:space="preserve"> NOTEREF _Ref213678120 \h </w:instrText>
      </w:r>
      <w:r w:rsidR="00221671">
        <w:fldChar w:fldCharType="separate"/>
      </w:r>
      <w:r w:rsidR="0003457F">
        <w:t>43</w:t>
      </w:r>
      <w:r w:rsidR="00221671">
        <w:fldChar w:fldCharType="end"/>
      </w:r>
      <w:r>
        <w:t xml:space="preserve"> below.</w:t>
      </w:r>
    </w:p>
    <w:p w14:paraId="605632BA" w14:textId="77777777" w:rsidR="009007A9" w:rsidRDefault="009007A9" w:rsidP="009007A9">
      <w:pPr>
        <w:pStyle w:val="EndnoteText"/>
        <w:ind w:firstLine="0"/>
      </w:pPr>
      <w:r>
        <w:t>Best practice is for the applicability of UCT</w:t>
      </w:r>
      <w:r w:rsidRPr="00575E4C">
        <w:t xml:space="preserve"> </w:t>
      </w:r>
      <w:r>
        <w:t>laws to the Agreement to be considered and discussed with the client at the earliest opportunity in the transaction, rather than left to be raised when the draft opinion is circulated (which is usually quite late in the negotiations).</w:t>
      </w:r>
    </w:p>
    <w:p w14:paraId="65E4FC6F" w14:textId="4D68AB73" w:rsidR="009007A9" w:rsidRDefault="009007A9" w:rsidP="009007A9">
      <w:pPr>
        <w:pStyle w:val="EndnoteText"/>
        <w:ind w:firstLine="0"/>
      </w:pPr>
      <w:r w:rsidRPr="003B190D">
        <w:t xml:space="preserve">If UCT laws do apply to the Agreement, it is likely that amendments will be required to the Agreement to ensure that it does not contain any unfair terms, the consequences of which </w:t>
      </w:r>
      <w:r w:rsidR="00163FF7">
        <w:t>would</w:t>
      </w:r>
      <w:r w:rsidRPr="003B190D">
        <w:t xml:space="preserve"> impact the enforceability opinion in paragraph </w:t>
      </w:r>
      <w:r w:rsidRPr="003B190D">
        <w:fldChar w:fldCharType="begin"/>
      </w:r>
      <w:r w:rsidRPr="003B190D">
        <w:instrText xml:space="preserve"> REF _Ref287278957 \r \h  \* MERGEFORMAT </w:instrText>
      </w:r>
      <w:r w:rsidRPr="003B190D">
        <w:fldChar w:fldCharType="separate"/>
      </w:r>
      <w:r w:rsidR="0003457F">
        <w:rPr>
          <w:cs/>
        </w:rPr>
        <w:t>‎</w:t>
      </w:r>
      <w:r w:rsidR="0003457F">
        <w:t>5(e)</w:t>
      </w:r>
      <w:r w:rsidRPr="003B190D">
        <w:fldChar w:fldCharType="end"/>
      </w:r>
      <w:r w:rsidRPr="003B190D">
        <w:t xml:space="preserve"> and the no contravention of Relevant Laws opinion in paragraph </w:t>
      </w:r>
      <w:r w:rsidRPr="003B190D">
        <w:fldChar w:fldCharType="begin"/>
      </w:r>
      <w:r w:rsidRPr="003B190D">
        <w:instrText xml:space="preserve"> REF _Ref419732658 \r \h  \* MERGEFORMAT </w:instrText>
      </w:r>
      <w:r w:rsidRPr="003B190D">
        <w:fldChar w:fldCharType="separate"/>
      </w:r>
      <w:r w:rsidR="0003457F">
        <w:rPr>
          <w:cs/>
        </w:rPr>
        <w:t>‎</w:t>
      </w:r>
      <w:r w:rsidR="0003457F">
        <w:t>5(d)</w:t>
      </w:r>
      <w:r w:rsidRPr="003B190D">
        <w:fldChar w:fldCharType="end"/>
      </w:r>
      <w:r w:rsidRPr="003B190D">
        <w:t>.</w:t>
      </w:r>
    </w:p>
  </w:endnote>
  <w:endnote w:id="41">
    <w:p w14:paraId="73FE6471" w14:textId="5203D7F3" w:rsidR="00350F87" w:rsidRDefault="00777A6F" w:rsidP="000D08D7">
      <w:pPr>
        <w:pStyle w:val="EndnoteText"/>
      </w:pPr>
      <w:r>
        <w:rPr>
          <w:rStyle w:val="EndnoteReference"/>
        </w:rPr>
        <w:endnoteRef/>
      </w:r>
      <w:r>
        <w:t xml:space="preserve"> </w:t>
      </w:r>
      <w:r>
        <w:tab/>
      </w:r>
      <w:r w:rsidR="00350F87" w:rsidRPr="00350F87">
        <w:rPr>
          <w:b/>
          <w:bCs/>
        </w:rPr>
        <w:t>UCT</w:t>
      </w:r>
      <w:r w:rsidR="00350F87">
        <w:rPr>
          <w:b/>
          <w:bCs/>
        </w:rPr>
        <w:t xml:space="preserve"> qualification – first </w:t>
      </w:r>
      <w:r w:rsidR="00E52DC6">
        <w:rPr>
          <w:b/>
          <w:bCs/>
        </w:rPr>
        <w:t>alternative</w:t>
      </w:r>
      <w:r w:rsidR="009856C9">
        <w:rPr>
          <w:b/>
          <w:bCs/>
        </w:rPr>
        <w:t xml:space="preserve"> (no UCT consideration)</w:t>
      </w:r>
    </w:p>
    <w:p w14:paraId="7EF04AAC" w14:textId="1F2F4889" w:rsidR="00C24A40" w:rsidRPr="00350F87" w:rsidRDefault="00C24A40" w:rsidP="00350F87">
      <w:pPr>
        <w:pStyle w:val="EndnoteText"/>
        <w:ind w:firstLine="0"/>
        <w:rPr>
          <w:b/>
          <w:bCs/>
        </w:rPr>
      </w:pPr>
      <w:r w:rsidRPr="00C24A40">
        <w:rPr>
          <w:i/>
          <w:iCs/>
        </w:rPr>
        <w:t>Own client opinion</w:t>
      </w:r>
    </w:p>
    <w:p w14:paraId="2AA67A5A" w14:textId="2767007A" w:rsidR="00C24A40" w:rsidRDefault="002E7415" w:rsidP="00C24A40">
      <w:pPr>
        <w:pStyle w:val="EndnoteText"/>
        <w:ind w:firstLine="0"/>
      </w:pPr>
      <w:r w:rsidRPr="00F102FB">
        <w:t xml:space="preserve">This </w:t>
      </w:r>
      <w:r w:rsidR="00E52DC6">
        <w:t>alternative</w:t>
      </w:r>
      <w:r w:rsidRPr="00F102FB">
        <w:t xml:space="preserve"> </w:t>
      </w:r>
      <w:r w:rsidR="00C24A40">
        <w:t>is only relevant</w:t>
      </w:r>
      <w:r w:rsidRPr="00F102FB">
        <w:t xml:space="preserve"> where the </w:t>
      </w:r>
      <w:r w:rsidR="00C24A40">
        <w:t xml:space="preserve">client has </w:t>
      </w:r>
      <w:r w:rsidR="00A162B4" w:rsidRPr="00484A1F">
        <w:rPr>
          <w:b/>
          <w:bCs/>
          <w:i/>
          <w:iCs/>
        </w:rPr>
        <w:t xml:space="preserve">not </w:t>
      </w:r>
      <w:r w:rsidR="00C24A40">
        <w:t>instructed the opining firm</w:t>
      </w:r>
      <w:r w:rsidR="00C24A40" w:rsidRPr="00F102FB">
        <w:t xml:space="preserve"> </w:t>
      </w:r>
      <w:r w:rsidR="00C24A40">
        <w:t xml:space="preserve">to </w:t>
      </w:r>
      <w:r w:rsidRPr="00F22F76">
        <w:t>consider</w:t>
      </w:r>
      <w:r w:rsidRPr="00F102FB">
        <w:t xml:space="preserve"> whether </w:t>
      </w:r>
      <w:r w:rsidRPr="00C24A40">
        <w:t>UCT</w:t>
      </w:r>
      <w:r w:rsidR="00DB2BB6">
        <w:t xml:space="preserve"> laws apply</w:t>
      </w:r>
      <w:r w:rsidRPr="00F102FB">
        <w:t xml:space="preserve">.  </w:t>
      </w:r>
      <w:r w:rsidR="00C24A40">
        <w:t xml:space="preserve">Otherwise, it should be deleted.  If it is used, </w:t>
      </w:r>
      <w:r w:rsidR="00936EAE">
        <w:t xml:space="preserve">both </w:t>
      </w:r>
      <w:r w:rsidR="00350F87">
        <w:t xml:space="preserve">the </w:t>
      </w:r>
      <w:r w:rsidR="00A47DD5">
        <w:t xml:space="preserve">second </w:t>
      </w:r>
      <w:r w:rsidR="009856C9">
        <w:t>(</w:t>
      </w:r>
      <w:r w:rsidR="00350F87">
        <w:t>discussed</w:t>
      </w:r>
      <w:r w:rsidR="00C24A40">
        <w:t xml:space="preserve"> </w:t>
      </w:r>
      <w:r w:rsidR="00C24A40" w:rsidRPr="00D2427D">
        <w:t xml:space="preserve">at </w:t>
      </w:r>
      <w:r w:rsidR="00C24A40" w:rsidRPr="006C7ECF">
        <w:t>note</w:t>
      </w:r>
      <w:r w:rsidR="00221671">
        <w:t xml:space="preserve"> </w:t>
      </w:r>
      <w:r w:rsidR="00221671">
        <w:fldChar w:fldCharType="begin"/>
      </w:r>
      <w:r w:rsidR="00221671">
        <w:instrText xml:space="preserve"> NOTEREF _Ref215692632 \h </w:instrText>
      </w:r>
      <w:r w:rsidR="00221671">
        <w:fldChar w:fldCharType="separate"/>
      </w:r>
      <w:r w:rsidR="0003457F">
        <w:t>42</w:t>
      </w:r>
      <w:r w:rsidR="00221671">
        <w:fldChar w:fldCharType="end"/>
      </w:r>
      <w:r w:rsidR="009856C9">
        <w:t>)</w:t>
      </w:r>
      <w:r w:rsidR="00C24A40" w:rsidRPr="006C7ECF">
        <w:t xml:space="preserve"> </w:t>
      </w:r>
      <w:r w:rsidR="00D46A79">
        <w:t xml:space="preserve">and third </w:t>
      </w:r>
      <w:r w:rsidR="009856C9">
        <w:t>(</w:t>
      </w:r>
      <w:r w:rsidR="00D46A79">
        <w:t xml:space="preserve">discussed </w:t>
      </w:r>
      <w:r w:rsidR="00D46A79" w:rsidRPr="00D2427D">
        <w:t>at note</w:t>
      </w:r>
      <w:r w:rsidR="00221671">
        <w:t xml:space="preserve"> </w:t>
      </w:r>
      <w:r w:rsidR="00221671">
        <w:fldChar w:fldCharType="begin"/>
      </w:r>
      <w:r w:rsidR="00221671">
        <w:instrText xml:space="preserve"> NOTEREF _Ref213678120 \h </w:instrText>
      </w:r>
      <w:r w:rsidR="00221671">
        <w:fldChar w:fldCharType="separate"/>
      </w:r>
      <w:r w:rsidR="0003457F">
        <w:t>43</w:t>
      </w:r>
      <w:r w:rsidR="00221671">
        <w:fldChar w:fldCharType="end"/>
      </w:r>
      <w:r w:rsidR="009856C9">
        <w:t>)</w:t>
      </w:r>
      <w:r w:rsidR="00D46A79">
        <w:t xml:space="preserve"> </w:t>
      </w:r>
      <w:r w:rsidR="00E4246C">
        <w:t xml:space="preserve">alternatives </w:t>
      </w:r>
      <w:r w:rsidR="00C24A40" w:rsidRPr="00D2427D">
        <w:t>should</w:t>
      </w:r>
      <w:r w:rsidR="00C24A40">
        <w:t xml:space="preserve"> be deleted.</w:t>
      </w:r>
    </w:p>
    <w:p w14:paraId="3754A3B3" w14:textId="45BAC6D7" w:rsidR="002E7415" w:rsidRDefault="00C24A40" w:rsidP="00327E9F">
      <w:pPr>
        <w:pStyle w:val="EndnoteText"/>
        <w:keepNext/>
        <w:ind w:firstLine="0"/>
      </w:pPr>
      <w:r>
        <w:rPr>
          <w:i/>
          <w:iCs/>
        </w:rPr>
        <w:t>Across the table opinion</w:t>
      </w:r>
      <w:r w:rsidR="00777A6F" w:rsidRPr="00F22F76">
        <w:t xml:space="preserve">  </w:t>
      </w:r>
    </w:p>
    <w:p w14:paraId="4ABF2207" w14:textId="7EE06BB0" w:rsidR="00D945EF" w:rsidRDefault="00171B82" w:rsidP="00327E9F">
      <w:pPr>
        <w:pStyle w:val="EndnoteText"/>
        <w:keepNext/>
        <w:ind w:firstLine="0"/>
      </w:pPr>
      <w:r>
        <w:rPr>
          <w:b/>
          <w:bCs/>
        </w:rPr>
        <w:t>Warning:</w:t>
      </w:r>
      <w:r>
        <w:t xml:space="preserve"> </w:t>
      </w:r>
      <w:r w:rsidR="00777A6F" w:rsidRPr="00F22F76">
        <w:t>If the opinion is an “across the table” opinion</w:t>
      </w:r>
      <w:r w:rsidR="00653872">
        <w:t xml:space="preserve"> (ie issued by Obligors’ counsel to the financers)</w:t>
      </w:r>
      <w:r w:rsidR="00777A6F" w:rsidRPr="00F22F76">
        <w:t xml:space="preserve">, it is </w:t>
      </w:r>
      <w:r w:rsidR="00653872">
        <w:t>never appropriate</w:t>
      </w:r>
      <w:r w:rsidR="00653872" w:rsidRPr="00F22F76">
        <w:t xml:space="preserve"> </w:t>
      </w:r>
      <w:r w:rsidR="00777A6F" w:rsidRPr="00F22F76">
        <w:t xml:space="preserve">to include </w:t>
      </w:r>
      <w:r w:rsidR="00777A6F">
        <w:t xml:space="preserve">or imply </w:t>
      </w:r>
      <w:r w:rsidR="00777A6F" w:rsidRPr="00F22F76">
        <w:t>any UCT or other advice</w:t>
      </w:r>
      <w:r w:rsidR="00653872">
        <w:t xml:space="preserve"> (see the “Note on Across-the-table Opinions” on the BFSLA website, under the Opinions dropdown menu)</w:t>
      </w:r>
      <w:r w:rsidR="00777A6F">
        <w:t xml:space="preserve">, and so </w:t>
      </w:r>
      <w:r w:rsidR="00D945EF">
        <w:t xml:space="preserve">an amended version of </w:t>
      </w:r>
      <w:r w:rsidR="00777A6F">
        <w:t xml:space="preserve">this </w:t>
      </w:r>
      <w:r w:rsidR="00C54F4C">
        <w:t xml:space="preserve">first </w:t>
      </w:r>
      <w:r w:rsidR="00E52DC6">
        <w:t>alternative</w:t>
      </w:r>
      <w:r w:rsidR="00777A6F">
        <w:t xml:space="preserve"> should always be included</w:t>
      </w:r>
      <w:r w:rsidR="00D945EF">
        <w:t xml:space="preserve"> as follows:</w:t>
      </w:r>
    </w:p>
    <w:p w14:paraId="4518D375" w14:textId="43AB312F" w:rsidR="00A41260" w:rsidRDefault="00A76B88" w:rsidP="00D945EF">
      <w:pPr>
        <w:pStyle w:val="EndnoteText"/>
        <w:keepNext/>
        <w:ind w:left="1440" w:firstLine="0"/>
      </w:pPr>
      <w:r>
        <w:t>We express no opinion on whether UCT laws apply to the Agreement or the consequences if they do apply</w:t>
      </w:r>
      <w:r w:rsidR="00777A6F">
        <w:t xml:space="preserve">. </w:t>
      </w:r>
      <w:r w:rsidR="007F427F">
        <w:t xml:space="preserve"> </w:t>
      </w:r>
      <w:r>
        <w:t xml:space="preserve"> </w:t>
      </w:r>
    </w:p>
  </w:endnote>
  <w:endnote w:id="42">
    <w:p w14:paraId="42E5D1E8" w14:textId="31F1702C" w:rsidR="002162BF" w:rsidRDefault="002162BF" w:rsidP="002162BF">
      <w:pPr>
        <w:pStyle w:val="EndnoteText"/>
      </w:pPr>
      <w:r>
        <w:rPr>
          <w:rStyle w:val="EndnoteReference"/>
        </w:rPr>
        <w:endnoteRef/>
      </w:r>
      <w:r>
        <w:t xml:space="preserve"> </w:t>
      </w:r>
      <w:r>
        <w:tab/>
      </w:r>
      <w:r w:rsidRPr="00350F87">
        <w:rPr>
          <w:b/>
          <w:bCs/>
        </w:rPr>
        <w:t xml:space="preserve">UCT qualification </w:t>
      </w:r>
      <w:r>
        <w:rPr>
          <w:b/>
          <w:bCs/>
        </w:rPr>
        <w:t>– second alternative</w:t>
      </w:r>
      <w:r w:rsidR="009856C9">
        <w:rPr>
          <w:b/>
          <w:bCs/>
        </w:rPr>
        <w:t xml:space="preserve"> (separate UCT advice)</w:t>
      </w:r>
    </w:p>
    <w:p w14:paraId="376E40B3" w14:textId="19F0256C" w:rsidR="00887104" w:rsidRPr="00887104" w:rsidRDefault="00887104" w:rsidP="00D46A79">
      <w:pPr>
        <w:pStyle w:val="EndnoteText"/>
        <w:ind w:firstLine="0"/>
        <w:rPr>
          <w:i/>
          <w:iCs/>
        </w:rPr>
      </w:pPr>
      <w:r w:rsidRPr="00887104">
        <w:rPr>
          <w:i/>
          <w:iCs/>
        </w:rPr>
        <w:t>Own client opinion</w:t>
      </w:r>
    </w:p>
    <w:p w14:paraId="415FCDE5" w14:textId="5B592F23" w:rsidR="00FF2633" w:rsidRDefault="00FF2633" w:rsidP="00FF2633">
      <w:pPr>
        <w:pStyle w:val="EndnoteText"/>
        <w:ind w:firstLine="0"/>
      </w:pPr>
      <w:r>
        <w:t xml:space="preserve">If this second alternative is used, both the first </w:t>
      </w:r>
      <w:r w:rsidR="009856C9">
        <w:t>(</w:t>
      </w:r>
      <w:r>
        <w:t xml:space="preserve">discussed </w:t>
      </w:r>
      <w:r w:rsidRPr="00D2427D">
        <w:t xml:space="preserve">at </w:t>
      </w:r>
      <w:r w:rsidRPr="00D945EF">
        <w:t>note</w:t>
      </w:r>
      <w:r w:rsidR="0055528C">
        <w:t xml:space="preserve"> </w:t>
      </w:r>
      <w:r w:rsidR="0055528C">
        <w:fldChar w:fldCharType="begin"/>
      </w:r>
      <w:r w:rsidR="0055528C">
        <w:instrText xml:space="preserve"> NOTEREF _Ref213678255 \h </w:instrText>
      </w:r>
      <w:r w:rsidR="0055528C">
        <w:fldChar w:fldCharType="separate"/>
      </w:r>
      <w:r w:rsidR="0003457F">
        <w:t>41</w:t>
      </w:r>
      <w:r w:rsidR="0055528C">
        <w:fldChar w:fldCharType="end"/>
      </w:r>
      <w:r w:rsidR="009856C9">
        <w:t>)</w:t>
      </w:r>
      <w:r w:rsidRPr="00D2427D">
        <w:t xml:space="preserve"> </w:t>
      </w:r>
      <w:r>
        <w:t xml:space="preserve">and third </w:t>
      </w:r>
      <w:r w:rsidR="009856C9">
        <w:t>(</w:t>
      </w:r>
      <w:r>
        <w:t xml:space="preserve">discussed </w:t>
      </w:r>
      <w:r w:rsidRPr="00D2427D">
        <w:t>at note</w:t>
      </w:r>
      <w:r w:rsidR="0055528C">
        <w:t xml:space="preserve"> </w:t>
      </w:r>
      <w:r w:rsidR="0055528C">
        <w:fldChar w:fldCharType="begin"/>
      </w:r>
      <w:r w:rsidR="0055528C">
        <w:instrText xml:space="preserve"> NOTEREF _Ref213678120 \h </w:instrText>
      </w:r>
      <w:r w:rsidR="0055528C">
        <w:fldChar w:fldCharType="separate"/>
      </w:r>
      <w:r w:rsidR="0003457F">
        <w:t>43</w:t>
      </w:r>
      <w:r w:rsidR="0055528C">
        <w:fldChar w:fldCharType="end"/>
      </w:r>
      <w:r w:rsidR="009856C9">
        <w:t>)</w:t>
      </w:r>
      <w:r>
        <w:t xml:space="preserve"> </w:t>
      </w:r>
      <w:r w:rsidR="0055528C">
        <w:t>alternatives</w:t>
      </w:r>
      <w:r w:rsidR="0055528C" w:rsidRPr="00D2427D">
        <w:t xml:space="preserve"> </w:t>
      </w:r>
      <w:r w:rsidRPr="00D2427D">
        <w:t>should</w:t>
      </w:r>
      <w:r>
        <w:t xml:space="preserve"> be deleted.</w:t>
      </w:r>
    </w:p>
    <w:p w14:paraId="698336B9" w14:textId="647C6EEA" w:rsidR="00FF2633" w:rsidRDefault="00936EAE" w:rsidP="00D46A79">
      <w:pPr>
        <w:pStyle w:val="EndnoteText"/>
        <w:ind w:firstLine="0"/>
      </w:pPr>
      <w:r w:rsidRPr="00F102FB">
        <w:t xml:space="preserve">This </w:t>
      </w:r>
      <w:r>
        <w:t>alternative</w:t>
      </w:r>
      <w:r w:rsidRPr="00F102FB">
        <w:t xml:space="preserve"> </w:t>
      </w:r>
      <w:r>
        <w:t>is only relevant</w:t>
      </w:r>
      <w:r w:rsidRPr="00F102FB">
        <w:t xml:space="preserve"> where</w:t>
      </w:r>
      <w:r>
        <w:t>, in</w:t>
      </w:r>
      <w:r w:rsidR="00D46A79">
        <w:t xml:space="preserve"> the context of a particular transaction, the opining firm</w:t>
      </w:r>
      <w:r w:rsidR="00A76B88">
        <w:t xml:space="preserve"> has</w:t>
      </w:r>
      <w:r w:rsidR="00D46A79">
        <w:t xml:space="preserve"> consider</w:t>
      </w:r>
      <w:r w:rsidR="00A76B88">
        <w:t>ed</w:t>
      </w:r>
      <w:r w:rsidR="00D46A79">
        <w:t xml:space="preserve"> the applicability of UCT laws </w:t>
      </w:r>
      <w:r w:rsidR="00A76B88">
        <w:t>in</w:t>
      </w:r>
      <w:r w:rsidR="00D46A79" w:rsidRPr="00F102FB">
        <w:t xml:space="preserve"> a separate advice to the client based on the particular facts. </w:t>
      </w:r>
      <w:r w:rsidR="00D46A79">
        <w:t xml:space="preserve"> There may be several reasons for this.  Among them is that the application of UCT laws may not be a simple or clear black and white issue, able to be addressed by simple statements of the type seen in a formal closing opinion.  It may require judgment calls and assessment of risk</w:t>
      </w:r>
      <w:r w:rsidR="00A76B88">
        <w:t>, based on specific factual instructions</w:t>
      </w:r>
      <w:r w:rsidR="00D46A79">
        <w:t>.  The opining</w:t>
      </w:r>
      <w:r w:rsidR="00D46A79" w:rsidRPr="00F22F76">
        <w:t xml:space="preserve"> </w:t>
      </w:r>
      <w:r w:rsidR="00D46A79">
        <w:t xml:space="preserve">firm may need </w:t>
      </w:r>
      <w:r w:rsidR="00D46A79" w:rsidRPr="00F22F76">
        <w:t xml:space="preserve">to consider factors </w:t>
      </w:r>
      <w:r w:rsidR="00D46A79">
        <w:t xml:space="preserve">and instructions </w:t>
      </w:r>
      <w:r w:rsidR="00D46A79" w:rsidRPr="00F22F76">
        <w:t xml:space="preserve">that are not evident on the face of the </w:t>
      </w:r>
      <w:r w:rsidR="00D46A79">
        <w:t>Agreement</w:t>
      </w:r>
      <w:r w:rsidR="00D46A79" w:rsidRPr="00171B82">
        <w:t xml:space="preserve"> </w:t>
      </w:r>
      <w:r w:rsidR="00D46A79">
        <w:t xml:space="preserve">or facts </w:t>
      </w:r>
      <w:r w:rsidR="00A162B4">
        <w:t xml:space="preserve">that are not </w:t>
      </w:r>
      <w:r w:rsidR="00D46A79">
        <w:t>usually known to the opining firm</w:t>
      </w:r>
      <w:r w:rsidR="00D46A79" w:rsidRPr="00F22F76">
        <w:t>.</w:t>
      </w:r>
    </w:p>
    <w:p w14:paraId="1A07497C" w14:textId="77777777" w:rsidR="00887104" w:rsidRPr="007F3A5B" w:rsidRDefault="00887104" w:rsidP="00887104">
      <w:pPr>
        <w:pStyle w:val="EndnoteText"/>
        <w:ind w:firstLine="0"/>
        <w:rPr>
          <w:i/>
          <w:iCs/>
        </w:rPr>
      </w:pPr>
      <w:r w:rsidRPr="007F3A5B">
        <w:rPr>
          <w:i/>
          <w:iCs/>
        </w:rPr>
        <w:t>Across the table opinion</w:t>
      </w:r>
    </w:p>
    <w:p w14:paraId="05327B14" w14:textId="43902627" w:rsidR="00887104" w:rsidRDefault="00887104" w:rsidP="00887104">
      <w:pPr>
        <w:pStyle w:val="EndnoteText"/>
        <w:ind w:firstLine="0"/>
      </w:pPr>
      <w:r>
        <w:t>This second alternative should be deleted. As p</w:t>
      </w:r>
      <w:r w:rsidRPr="00D2427D">
        <w:t xml:space="preserve">er note </w:t>
      </w:r>
      <w:r w:rsidR="00E4246C">
        <w:rPr>
          <w:highlight w:val="yellow"/>
        </w:rPr>
        <w:fldChar w:fldCharType="begin"/>
      </w:r>
      <w:r w:rsidR="00E4246C">
        <w:instrText xml:space="preserve"> NOTEREF _Ref213678255 \h </w:instrText>
      </w:r>
      <w:r w:rsidR="00E4246C">
        <w:rPr>
          <w:highlight w:val="yellow"/>
        </w:rPr>
      </w:r>
      <w:r w:rsidR="00E4246C">
        <w:rPr>
          <w:highlight w:val="yellow"/>
        </w:rPr>
        <w:fldChar w:fldCharType="separate"/>
      </w:r>
      <w:r w:rsidR="0003457F">
        <w:t>41</w:t>
      </w:r>
      <w:r w:rsidR="00E4246C">
        <w:rPr>
          <w:highlight w:val="yellow"/>
        </w:rPr>
        <w:fldChar w:fldCharType="end"/>
      </w:r>
      <w:r w:rsidRPr="00D2427D">
        <w:t xml:space="preserve"> above, it is </w:t>
      </w:r>
      <w:r w:rsidR="00A76B88">
        <w:t xml:space="preserve">never </w:t>
      </w:r>
      <w:r w:rsidRPr="00D2427D">
        <w:t>appropriate to include or imply any UCT or other advice in this type of opinion.</w:t>
      </w:r>
    </w:p>
  </w:endnote>
  <w:endnote w:id="43">
    <w:p w14:paraId="3DB2F656" w14:textId="52FC3520" w:rsidR="00F50980" w:rsidRDefault="007F3A5B" w:rsidP="007F3A5B">
      <w:pPr>
        <w:pStyle w:val="EndnoteText"/>
      </w:pPr>
      <w:r>
        <w:rPr>
          <w:rStyle w:val="EndnoteReference"/>
        </w:rPr>
        <w:endnoteRef/>
      </w:r>
      <w:r>
        <w:t xml:space="preserve"> </w:t>
      </w:r>
      <w:r>
        <w:tab/>
      </w:r>
      <w:r w:rsidR="00350F87" w:rsidRPr="00350F87">
        <w:rPr>
          <w:b/>
          <w:bCs/>
        </w:rPr>
        <w:t xml:space="preserve">UCT qualification </w:t>
      </w:r>
      <w:r w:rsidR="00350F87">
        <w:rPr>
          <w:b/>
          <w:bCs/>
        </w:rPr>
        <w:t xml:space="preserve">– </w:t>
      </w:r>
      <w:r w:rsidR="002162BF">
        <w:rPr>
          <w:b/>
          <w:bCs/>
        </w:rPr>
        <w:t xml:space="preserve">third </w:t>
      </w:r>
      <w:r w:rsidR="00E52DC6">
        <w:rPr>
          <w:b/>
          <w:bCs/>
        </w:rPr>
        <w:t>alternative</w:t>
      </w:r>
      <w:r w:rsidR="009856C9">
        <w:rPr>
          <w:b/>
          <w:bCs/>
        </w:rPr>
        <w:t xml:space="preserve"> (no unfair terms, or UCT laws do not apply)</w:t>
      </w:r>
    </w:p>
    <w:p w14:paraId="46DCC058" w14:textId="73C3E848" w:rsidR="007F3A5B" w:rsidRDefault="007F3A5B" w:rsidP="00F50980">
      <w:pPr>
        <w:pStyle w:val="EndnoteText"/>
        <w:ind w:firstLine="0"/>
      </w:pPr>
      <w:r w:rsidRPr="007F3A5B">
        <w:rPr>
          <w:i/>
          <w:iCs/>
        </w:rPr>
        <w:t>Own client opinion</w:t>
      </w:r>
    </w:p>
    <w:p w14:paraId="4BECE706" w14:textId="5A7B265E" w:rsidR="00C54F4C" w:rsidRPr="00D2427D" w:rsidRDefault="00795F8B" w:rsidP="00C54F4C">
      <w:pPr>
        <w:pStyle w:val="EndnoteText"/>
        <w:ind w:firstLine="0"/>
      </w:pPr>
      <w:r w:rsidRPr="00D2427D">
        <w:t xml:space="preserve">If this </w:t>
      </w:r>
      <w:r w:rsidR="002162BF">
        <w:t xml:space="preserve">third </w:t>
      </w:r>
      <w:r w:rsidRPr="00D2427D">
        <w:t xml:space="preserve">alternative is included, </w:t>
      </w:r>
      <w:r w:rsidR="00936EAE">
        <w:t xml:space="preserve">both </w:t>
      </w:r>
      <w:r w:rsidRPr="00D2427D">
        <w:t>t</w:t>
      </w:r>
      <w:r w:rsidR="00C54F4C" w:rsidRPr="00D2427D">
        <w:t xml:space="preserve">he first </w:t>
      </w:r>
      <w:r w:rsidR="009856C9">
        <w:t>(</w:t>
      </w:r>
      <w:r w:rsidR="00C54F4C" w:rsidRPr="00D2427D">
        <w:t>discussed at note</w:t>
      </w:r>
      <w:r w:rsidR="00E4246C">
        <w:t xml:space="preserve"> </w:t>
      </w:r>
      <w:r w:rsidR="00E4246C">
        <w:fldChar w:fldCharType="begin"/>
      </w:r>
      <w:r w:rsidR="00E4246C">
        <w:instrText xml:space="preserve"> NOTEREF _Ref213678255 \h </w:instrText>
      </w:r>
      <w:r w:rsidR="00E4246C">
        <w:fldChar w:fldCharType="separate"/>
      </w:r>
      <w:r w:rsidR="0003457F">
        <w:t>41</w:t>
      </w:r>
      <w:r w:rsidR="00E4246C">
        <w:fldChar w:fldCharType="end"/>
      </w:r>
      <w:r w:rsidR="009856C9">
        <w:t>)</w:t>
      </w:r>
      <w:r w:rsidR="00C54F4C" w:rsidRPr="00D2427D">
        <w:t xml:space="preserve"> </w:t>
      </w:r>
      <w:r w:rsidR="002162BF">
        <w:t xml:space="preserve">and second </w:t>
      </w:r>
      <w:r w:rsidR="009856C9">
        <w:t>(</w:t>
      </w:r>
      <w:r w:rsidR="002162BF">
        <w:t>discussed at note</w:t>
      </w:r>
      <w:r w:rsidR="00E4246C">
        <w:t xml:space="preserve"> </w:t>
      </w:r>
      <w:r w:rsidR="00E4246C">
        <w:fldChar w:fldCharType="begin"/>
      </w:r>
      <w:r w:rsidR="00E4246C">
        <w:instrText xml:space="preserve"> NOTEREF _Ref215692632 \h </w:instrText>
      </w:r>
      <w:r w:rsidR="00E4246C">
        <w:fldChar w:fldCharType="separate"/>
      </w:r>
      <w:r w:rsidR="0003457F">
        <w:t>42</w:t>
      </w:r>
      <w:r w:rsidR="00E4246C">
        <w:fldChar w:fldCharType="end"/>
      </w:r>
      <w:r w:rsidR="009856C9">
        <w:t>)</w:t>
      </w:r>
      <w:r w:rsidR="002162BF">
        <w:t xml:space="preserve"> </w:t>
      </w:r>
      <w:r w:rsidR="00E4246C">
        <w:t>alternatives</w:t>
      </w:r>
      <w:r w:rsidR="00E4246C" w:rsidRPr="00D2427D">
        <w:t xml:space="preserve"> </w:t>
      </w:r>
      <w:r w:rsidR="00C54F4C" w:rsidRPr="00D2427D">
        <w:t>should be deleted.</w:t>
      </w:r>
    </w:p>
    <w:p w14:paraId="3ADABFED" w14:textId="09E4FFD0" w:rsidR="007F3A5B" w:rsidRDefault="00766BBF" w:rsidP="007F3A5B">
      <w:pPr>
        <w:pStyle w:val="EndnoteText"/>
        <w:ind w:firstLine="0"/>
      </w:pPr>
      <w:r w:rsidRPr="00D2427D">
        <w:t xml:space="preserve">This </w:t>
      </w:r>
      <w:r w:rsidR="002162BF">
        <w:t xml:space="preserve">third </w:t>
      </w:r>
      <w:r w:rsidR="00E52DC6">
        <w:t>alternative</w:t>
      </w:r>
      <w:r>
        <w:t xml:space="preserve"> </w:t>
      </w:r>
      <w:r w:rsidR="007F3A5B">
        <w:t xml:space="preserve">is relevant where the client has instructed the opining firm to consider whether UCT </w:t>
      </w:r>
      <w:r w:rsidR="00DB2BB6">
        <w:t xml:space="preserve">laws apply </w:t>
      </w:r>
      <w:r w:rsidR="007F3A5B">
        <w:t xml:space="preserve">to the Agreement, and the opining firm has concluded either that (i) </w:t>
      </w:r>
      <w:r w:rsidR="00DB2BB6">
        <w:t xml:space="preserve">they do </w:t>
      </w:r>
      <w:r w:rsidR="007F3A5B">
        <w:t xml:space="preserve">not apply, or (ii) </w:t>
      </w:r>
      <w:r w:rsidR="00DB2BB6">
        <w:t>they</w:t>
      </w:r>
      <w:r w:rsidR="007F3A5B">
        <w:t xml:space="preserve"> may apply but that the Agreement does not contain unfair terms. </w:t>
      </w:r>
    </w:p>
    <w:p w14:paraId="0DF42F42" w14:textId="73245B9E" w:rsidR="000B7307" w:rsidRDefault="007F3A5B" w:rsidP="007F3A5B">
      <w:pPr>
        <w:pStyle w:val="EndnoteText"/>
        <w:ind w:firstLine="0"/>
      </w:pPr>
      <w:r>
        <w:t>In the former case</w:t>
      </w:r>
      <w:r w:rsidR="00B01748">
        <w:t xml:space="preserve"> (i)</w:t>
      </w:r>
      <w:r>
        <w:t xml:space="preserve">, </w:t>
      </w:r>
      <w:r w:rsidR="00BD2DEB">
        <w:t>it is</w:t>
      </w:r>
      <w:r w:rsidR="001F5195">
        <w:t>, of course, also</w:t>
      </w:r>
      <w:r w:rsidR="00BD2DEB">
        <w:t xml:space="preserve"> open to member law firms to </w:t>
      </w:r>
      <w:r w:rsidR="00591E91">
        <w:t>decide</w:t>
      </w:r>
      <w:r w:rsidR="00B01748">
        <w:t xml:space="preserve"> that</w:t>
      </w:r>
      <w:r w:rsidR="00BD2DEB">
        <w:t xml:space="preserve"> no </w:t>
      </w:r>
      <w:r w:rsidR="00591E91">
        <w:t xml:space="preserve">UCT </w:t>
      </w:r>
      <w:r w:rsidR="00BD2DEB">
        <w:t>qualification is required</w:t>
      </w:r>
      <w:r w:rsidR="00C948D5">
        <w:t xml:space="preserve"> </w:t>
      </w:r>
      <w:r w:rsidR="001F5195">
        <w:t>at all</w:t>
      </w:r>
      <w:r w:rsidR="00BD2DEB">
        <w:t xml:space="preserve">.  This may be </w:t>
      </w:r>
      <w:r w:rsidR="009856C9">
        <w:t>so</w:t>
      </w:r>
      <w:r w:rsidR="00BD2DEB">
        <w:t xml:space="preserve"> </w:t>
      </w:r>
      <w:r w:rsidR="007411E9">
        <w:t xml:space="preserve">where, </w:t>
      </w:r>
      <w:r w:rsidR="00BD2DEB">
        <w:t xml:space="preserve">for </w:t>
      </w:r>
      <w:r w:rsidR="001F5195">
        <w:t xml:space="preserve">example, </w:t>
      </w:r>
      <w:r>
        <w:t xml:space="preserve">the opining firm is instructed that </w:t>
      </w:r>
      <w:r w:rsidR="00F82C33">
        <w:t xml:space="preserve">no </w:t>
      </w:r>
      <w:r w:rsidR="00E4246C">
        <w:t xml:space="preserve">party to the Agreement </w:t>
      </w:r>
      <w:r w:rsidR="00A76B88">
        <w:t>is</w:t>
      </w:r>
      <w:r>
        <w:t xml:space="preserve"> a small business</w:t>
      </w:r>
      <w:r w:rsidR="001F5195">
        <w:t xml:space="preserve"> and </w:t>
      </w:r>
      <w:r w:rsidR="00591E91">
        <w:t xml:space="preserve">these instructions form </w:t>
      </w:r>
      <w:r w:rsidR="003E28A4">
        <w:t xml:space="preserve">the basis of </w:t>
      </w:r>
      <w:r w:rsidR="00591E91">
        <w:t>the firm's assessment that UCT laws do not apply to the Agreement</w:t>
      </w:r>
      <w:r w:rsidR="003E28A4">
        <w:t>.  In this scenario,</w:t>
      </w:r>
      <w:r w:rsidR="00591E91">
        <w:t xml:space="preserve"> </w:t>
      </w:r>
      <w:r w:rsidR="001F5195">
        <w:t>the following assumption may be appropriate</w:t>
      </w:r>
      <w:r w:rsidR="007411E9">
        <w:t xml:space="preserve"> instead</w:t>
      </w:r>
      <w:r w:rsidR="001F5195">
        <w:t>:</w:t>
      </w:r>
      <w:r w:rsidR="00BD2DEB">
        <w:t xml:space="preserve">  </w:t>
      </w:r>
    </w:p>
    <w:p w14:paraId="1C079D9A" w14:textId="276D39D1" w:rsidR="000B7307" w:rsidRDefault="00C35C12" w:rsidP="000B7307">
      <w:pPr>
        <w:pStyle w:val="EndnoteText"/>
        <w:ind w:left="1440" w:firstLine="0"/>
      </w:pPr>
      <w:r>
        <w:t xml:space="preserve">No party to the Agreement is </w:t>
      </w:r>
      <w:r w:rsidR="000B7307" w:rsidRPr="007E43D8">
        <w:t xml:space="preserve">a 'small business' as contemplated in the definition of a 'small business contract' in the UCT </w:t>
      </w:r>
      <w:r w:rsidR="00DB2BB6">
        <w:t>laws</w:t>
      </w:r>
      <w:r w:rsidR="000B7307" w:rsidRPr="007E43D8">
        <w:t>.</w:t>
      </w:r>
    </w:p>
    <w:p w14:paraId="097F02C2" w14:textId="157A30D3" w:rsidR="001F5195" w:rsidRDefault="001F5195" w:rsidP="001F5195">
      <w:pPr>
        <w:pStyle w:val="EndnoteText"/>
        <w:ind w:firstLine="0"/>
      </w:pPr>
      <w:r>
        <w:t xml:space="preserve">However, it is likely that this will only be able to be </w:t>
      </w:r>
      <w:r w:rsidR="000E2E64">
        <w:t>assumed</w:t>
      </w:r>
      <w:r>
        <w:t xml:space="preserve"> in a narrow set of circumstances, including </w:t>
      </w:r>
      <w:r w:rsidRPr="00675A8A">
        <w:t xml:space="preserve">where there are no special purpose vehicles involved in the transaction and the statement at the end of Schedule 1 </w:t>
      </w:r>
      <w:r w:rsidR="00675A8A" w:rsidRPr="00675A8A">
        <w:t>(</w:t>
      </w:r>
      <w:r w:rsidRPr="00675A8A">
        <w:t>that the firm's representatives are not aware the assumption is incorrect</w:t>
      </w:r>
      <w:r w:rsidR="00675A8A" w:rsidRPr="00675A8A">
        <w:t>)</w:t>
      </w:r>
      <w:r w:rsidR="00E07622">
        <w:t xml:space="preserve"> </w:t>
      </w:r>
      <w:r w:rsidR="00907295">
        <w:t>remains</w:t>
      </w:r>
      <w:r w:rsidR="00E07622">
        <w:t xml:space="preserve"> </w:t>
      </w:r>
      <w:r w:rsidR="00675A8A" w:rsidRPr="00675A8A">
        <w:t>true</w:t>
      </w:r>
      <w:r w:rsidRPr="00675A8A">
        <w:t>.</w:t>
      </w:r>
    </w:p>
    <w:p w14:paraId="05A16971" w14:textId="5A75011C" w:rsidR="007F3A5B" w:rsidRDefault="001F5195" w:rsidP="007F3A5B">
      <w:pPr>
        <w:pStyle w:val="EndnoteText"/>
        <w:ind w:firstLine="0"/>
      </w:pPr>
      <w:r>
        <w:t xml:space="preserve">Otherwise, in </w:t>
      </w:r>
      <w:r w:rsidR="007F3A5B">
        <w:t xml:space="preserve">the context of the type of financing transactions in which this template would generally be used, </w:t>
      </w:r>
      <w:r w:rsidR="00E53B48">
        <w:t xml:space="preserve">and </w:t>
      </w:r>
      <w:r w:rsidR="00B01748">
        <w:t xml:space="preserve">in addition to </w:t>
      </w:r>
      <w:r w:rsidR="000726B3">
        <w:t xml:space="preserve">several </w:t>
      </w:r>
      <w:r w:rsidR="00E53B48">
        <w:t xml:space="preserve">other </w:t>
      </w:r>
      <w:r w:rsidR="00B01748">
        <w:t xml:space="preserve">threshold </w:t>
      </w:r>
      <w:r w:rsidR="008912F5">
        <w:t xml:space="preserve">UCT </w:t>
      </w:r>
      <w:r w:rsidR="00E53B48">
        <w:t xml:space="preserve">questions </w:t>
      </w:r>
      <w:r w:rsidR="00A162B4">
        <w:t>(</w:t>
      </w:r>
      <w:r w:rsidR="007E30A4">
        <w:t xml:space="preserve">such as </w:t>
      </w:r>
      <w:r w:rsidR="00B01748">
        <w:t xml:space="preserve">whether </w:t>
      </w:r>
      <w:r w:rsidR="00E72688">
        <w:t>a document</w:t>
      </w:r>
      <w:r w:rsidR="00B01748">
        <w:t xml:space="preserve"> is a standard form contract</w:t>
      </w:r>
      <w:r w:rsidR="00A162B4">
        <w:t>)</w:t>
      </w:r>
      <w:r w:rsidR="008912F5">
        <w:t xml:space="preserve">, </w:t>
      </w:r>
      <w:r w:rsidR="007F3A5B">
        <w:t>there remains uncertainty about how to calculate the upfront price payable for certain common security and other transaction documents, particularly those that are entered into after the facilities are established.</w:t>
      </w:r>
    </w:p>
    <w:p w14:paraId="2B3DD40E" w14:textId="23A5DC76" w:rsidR="00327E9F" w:rsidRDefault="007F3A5B" w:rsidP="007F3A5B">
      <w:pPr>
        <w:pStyle w:val="EndnoteText"/>
        <w:ind w:firstLine="0"/>
      </w:pPr>
      <w:r>
        <w:t xml:space="preserve">There is also uncertainty about whether certain documents commonly seen in financing transactions but which are not listed in (or may not fall within) the specific examples of "financial products" in s 12BAA(7) of the </w:t>
      </w:r>
      <w:r w:rsidRPr="009856C9">
        <w:rPr>
          <w:i/>
          <w:iCs/>
        </w:rPr>
        <w:t>Australian Securities and Investments Commission Act 2001</w:t>
      </w:r>
      <w:r>
        <w:t xml:space="preserve"> (Cth) are financial product</w:t>
      </w:r>
      <w:r w:rsidR="00163FF7">
        <w:t>s</w:t>
      </w:r>
      <w:r>
        <w:t xml:space="preserve"> or contract</w:t>
      </w:r>
      <w:r w:rsidR="00163FF7">
        <w:t>s</w:t>
      </w:r>
      <w:r>
        <w:t xml:space="preserve"> for the supply, or possible supply, of financial services.</w:t>
      </w:r>
    </w:p>
    <w:p w14:paraId="13EF5E82" w14:textId="6DD9E59A" w:rsidR="00B00D01" w:rsidRDefault="00801CDE" w:rsidP="00C817C6">
      <w:pPr>
        <w:pStyle w:val="EndnoteText"/>
        <w:ind w:firstLine="0"/>
      </w:pPr>
      <w:r>
        <w:t xml:space="preserve">In both cases (i) and (ii), </w:t>
      </w:r>
      <w:r w:rsidR="008D5E11">
        <w:t xml:space="preserve">due to the particular circumstances of a particular transaction, </w:t>
      </w:r>
      <w:r>
        <w:t>the</w:t>
      </w:r>
      <w:r w:rsidR="00215D94">
        <w:t xml:space="preserve"> opining firm may </w:t>
      </w:r>
      <w:r w:rsidR="00513CD5">
        <w:t>propose including additional assumptions and/or qualifications in relation to UCT laws in their closing opinion</w:t>
      </w:r>
      <w:r w:rsidR="00C817C6">
        <w:t>.</w:t>
      </w:r>
    </w:p>
    <w:p w14:paraId="473D02B5" w14:textId="0BD2A62D" w:rsidR="007F3A5B" w:rsidRPr="007F3A5B" w:rsidRDefault="007F3A5B" w:rsidP="007F3A5B">
      <w:pPr>
        <w:pStyle w:val="EndnoteText"/>
        <w:ind w:firstLine="0"/>
        <w:rPr>
          <w:i/>
          <w:iCs/>
        </w:rPr>
      </w:pPr>
      <w:r w:rsidRPr="007F3A5B">
        <w:rPr>
          <w:i/>
          <w:iCs/>
        </w:rPr>
        <w:t>Across the table opinion</w:t>
      </w:r>
    </w:p>
    <w:p w14:paraId="6CBB3FD7" w14:textId="4351234A" w:rsidR="007F3A5B" w:rsidRDefault="007F3A5B" w:rsidP="007F3A5B">
      <w:pPr>
        <w:pStyle w:val="EndnoteText"/>
        <w:ind w:firstLine="0"/>
      </w:pPr>
      <w:r>
        <w:t>This</w:t>
      </w:r>
      <w:r w:rsidR="00C54F4C">
        <w:t xml:space="preserve"> </w:t>
      </w:r>
      <w:r w:rsidR="002162BF">
        <w:t xml:space="preserve">third </w:t>
      </w:r>
      <w:r w:rsidR="000F6F33">
        <w:t>alternative</w:t>
      </w:r>
      <w:r>
        <w:t xml:space="preserve"> should be deleted. As </w:t>
      </w:r>
      <w:r w:rsidR="00766BBF">
        <w:t>p</w:t>
      </w:r>
      <w:r w:rsidR="00766BBF" w:rsidRPr="00D2427D">
        <w:t xml:space="preserve">er </w:t>
      </w:r>
      <w:r w:rsidR="00766BBF" w:rsidRPr="008D5E11">
        <w:t xml:space="preserve">note </w:t>
      </w:r>
      <w:r w:rsidR="00E4246C">
        <w:fldChar w:fldCharType="begin"/>
      </w:r>
      <w:r w:rsidR="00E4246C">
        <w:instrText xml:space="preserve"> NOTEREF _Ref213678255 \h </w:instrText>
      </w:r>
      <w:r w:rsidR="00E4246C">
        <w:fldChar w:fldCharType="separate"/>
      </w:r>
      <w:r w:rsidR="0003457F">
        <w:t>41</w:t>
      </w:r>
      <w:r w:rsidR="00E4246C">
        <w:fldChar w:fldCharType="end"/>
      </w:r>
      <w:r w:rsidRPr="008D5E11">
        <w:t xml:space="preserve"> above</w:t>
      </w:r>
      <w:r w:rsidRPr="00D2427D">
        <w:t>, it is</w:t>
      </w:r>
      <w:r w:rsidR="00A76B88">
        <w:t xml:space="preserve"> never</w:t>
      </w:r>
      <w:r w:rsidRPr="00D2427D">
        <w:t xml:space="preserve"> appropriate to include or imply any UCT or other advice in this type of opinion.</w:t>
      </w:r>
    </w:p>
  </w:endnote>
  <w:endnote w:id="44">
    <w:p w14:paraId="5A0BFBBA" w14:textId="65CB972C" w:rsidR="00EE1336" w:rsidRDefault="00EE1336" w:rsidP="00EE1336">
      <w:pPr>
        <w:pStyle w:val="EndnoteText"/>
      </w:pPr>
      <w:r>
        <w:rPr>
          <w:rStyle w:val="EndnoteReference"/>
        </w:rPr>
        <w:endnoteRef/>
      </w:r>
      <w:r>
        <w:t xml:space="preserve"> </w:t>
      </w:r>
      <w:r>
        <w:tab/>
      </w:r>
      <w:r w:rsidRPr="00524045">
        <w:t xml:space="preserve">This qualification addresses the mandatory and suspensory administrative merger control regime that commenced in Australia on 1 January 2026.  Under Part IVA of the </w:t>
      </w:r>
      <w:r w:rsidRPr="00524045">
        <w:rPr>
          <w:i/>
          <w:iCs/>
        </w:rPr>
        <w:t>Competition and Consumer Act 2010</w:t>
      </w:r>
      <w:r w:rsidRPr="00524045">
        <w:t xml:space="preserve"> (</w:t>
      </w:r>
      <w:r w:rsidRPr="00524045">
        <w:t>Cth) (</w:t>
      </w:r>
      <w:r w:rsidRPr="00524045">
        <w:rPr>
          <w:b/>
          <w:bCs/>
        </w:rPr>
        <w:t>CCA</w:t>
      </w:r>
      <w:r w:rsidRPr="00524045">
        <w:t xml:space="preserve">), acquisitions of shares and assets (defined very broadly) above certain thresholds are prohibited </w:t>
      </w:r>
      <w:r>
        <w:t>where there is no</w:t>
      </w:r>
      <w:r w:rsidRPr="00524045">
        <w:t xml:space="preserve"> prior notification to</w:t>
      </w:r>
      <w:r>
        <w:t xml:space="preserve">, or </w:t>
      </w:r>
      <w:r w:rsidRPr="00524045">
        <w:t>clearance from, or a notification waiver from, the Australian Competition and Consumer Commission.  Under Part IVA of the CCA, acquisitions in contravention of this prohibition, or in breach of any applicable standstill period, are void</w:t>
      </w:r>
      <w:r w:rsidR="0065071F">
        <w:t>able</w:t>
      </w:r>
      <w:r w:rsidRPr="00524045">
        <w:t xml:space="preserve"> and penalties may apply.  Exemptions to the regime are set out in subordinate legislation made under Part IVA of the CCA.  Many aspects of the regime are unclear and the relevant provisions of Part IVA of the CCA and the subordinate legislation made under it have not yet been authoritatively considered by courts in the Relevant Jurisdictions. </w:t>
      </w:r>
      <w:r w:rsidR="00A96D72">
        <w:t xml:space="preserve"> </w:t>
      </w:r>
      <w:r w:rsidR="00DB6E92" w:rsidRPr="00524045">
        <w:t xml:space="preserve">The applicability of the regime </w:t>
      </w:r>
      <w:r w:rsidR="00DB6E92">
        <w:t>and other matters of competition law are</w:t>
      </w:r>
      <w:r w:rsidR="00DB6E92" w:rsidRPr="00524045">
        <w:t xml:space="preserve"> </w:t>
      </w:r>
      <w:r w:rsidRPr="00524045">
        <w:t>a matter for advice rather than simple statements of the type seen in a formal closing opinion</w:t>
      </w:r>
      <w:r>
        <w:t>.</w:t>
      </w:r>
    </w:p>
  </w:endnote>
  <w:endnote w:id="45">
    <w:p w14:paraId="647509A4" w14:textId="77777777" w:rsidR="006D3CD6" w:rsidRDefault="00777A6F">
      <w:pPr>
        <w:pStyle w:val="EndnoteText"/>
      </w:pPr>
      <w:r>
        <w:rPr>
          <w:rStyle w:val="EndnoteReference"/>
        </w:rPr>
        <w:endnoteRef/>
      </w:r>
      <w:r>
        <w:t xml:space="preserve"> </w:t>
      </w:r>
      <w:r>
        <w:tab/>
        <w:t xml:space="preserve">This qualification should be retained whether the transaction is secured or unsecured.  Where the transaction is secured the access to trust assets outside of the security and the trustee's right of indemnity. is still subject to the "clear accounts" rule.  </w:t>
      </w:r>
    </w:p>
    <w:p w14:paraId="78FFC61F" w14:textId="433B7A77" w:rsidR="006D3CD6" w:rsidRDefault="00777A6F" w:rsidP="006D3CD6">
      <w:pPr>
        <w:pStyle w:val="EndnoteText"/>
        <w:ind w:hanging="11"/>
      </w:pPr>
      <w:r>
        <w:t>Subrogation is an equitable remedy and not a right, and therefore may be subject to defences, such as laches.</w:t>
      </w:r>
    </w:p>
  </w:endnote>
  <w:endnote w:id="46">
    <w:p w14:paraId="22CA8A7F" w14:textId="0F65414C" w:rsidR="00171B82" w:rsidRPr="00834D23" w:rsidRDefault="00777A6F" w:rsidP="00171B82">
      <w:pPr>
        <w:pStyle w:val="EndnoteText"/>
        <w:ind w:left="709" w:hanging="709"/>
      </w:pPr>
      <w:r>
        <w:rPr>
          <w:rStyle w:val="EndnoteReference"/>
        </w:rPr>
        <w:endnoteRef/>
      </w:r>
      <w:r>
        <w:tab/>
        <w:t xml:space="preserve">This qualification relates mainly to the opinion paragraph on ranking of trust creditors in paragraph </w:t>
      </w:r>
      <w:r>
        <w:fldChar w:fldCharType="begin"/>
      </w:r>
      <w:r>
        <w:instrText xml:space="preserve"> REF _Ref419732579 \w \h </w:instrText>
      </w:r>
      <w:r>
        <w:fldChar w:fldCharType="separate"/>
      </w:r>
      <w:r w:rsidR="0003457F">
        <w:rPr>
          <w:cs/>
        </w:rPr>
        <w:t>‎</w:t>
      </w:r>
      <w:r w:rsidR="0003457F">
        <w:t>5(h)</w:t>
      </w:r>
      <w:r>
        <w:fldChar w:fldCharType="end"/>
      </w:r>
      <w:r>
        <w:t xml:space="preserve">. See </w:t>
      </w:r>
      <w:r w:rsidRPr="00D2427D">
        <w:t xml:space="preserve">also note </w:t>
      </w:r>
      <w:r w:rsidR="00D2427D" w:rsidRPr="00D2427D">
        <w:fldChar w:fldCharType="begin"/>
      </w:r>
      <w:r w:rsidR="00D2427D" w:rsidRPr="00D2427D">
        <w:instrText xml:space="preserve"> NOTEREF _Ref403459687 \h </w:instrText>
      </w:r>
      <w:r w:rsidR="00D2427D">
        <w:instrText xml:space="preserve"> \* MERGEFORMAT </w:instrText>
      </w:r>
      <w:r w:rsidR="00D2427D" w:rsidRPr="00D2427D">
        <w:fldChar w:fldCharType="separate"/>
      </w:r>
      <w:r w:rsidR="0003457F">
        <w:t>23</w:t>
      </w:r>
      <w:r w:rsidR="00D2427D" w:rsidRPr="00D2427D">
        <w:fldChar w:fldCharType="end"/>
      </w:r>
      <w:r w:rsidRPr="00D2427D">
        <w:t xml:space="preserve"> above.</w:t>
      </w:r>
      <w:r>
        <w:t xml:space="preserve"> </w:t>
      </w:r>
      <w:r w:rsidR="00171B82">
        <w:t xml:space="preserve"> </w:t>
      </w:r>
      <w:r w:rsidR="00171B82" w:rsidRPr="00834D23">
        <w:rPr>
          <w:rFonts w:eastAsia="SimSun"/>
        </w:rPr>
        <w:t xml:space="preserve">The phrase in parentheses at the end is due to the High Court’s decision in </w:t>
      </w:r>
      <w:r w:rsidR="00171B82" w:rsidRPr="00834D23">
        <w:rPr>
          <w:rFonts w:eastAsia="SimSun"/>
          <w:i/>
          <w:iCs/>
        </w:rPr>
        <w:t>Carter Holt Harvey Woodproducts Australia Pty Ltd v Commonwealth of Australia</w:t>
      </w:r>
      <w:r w:rsidR="00171B82" w:rsidRPr="00834D23">
        <w:rPr>
          <w:rFonts w:eastAsia="SimSun"/>
        </w:rPr>
        <w:t xml:space="preserve"> [2019] HCA 20 where it </w:t>
      </w:r>
      <w:r w:rsidR="00171B82">
        <w:rPr>
          <w:rFonts w:eastAsia="SimSun"/>
        </w:rPr>
        <w:t xml:space="preserve">was </w:t>
      </w:r>
      <w:r w:rsidR="00171B82" w:rsidRPr="00834D23">
        <w:rPr>
          <w:rFonts w:eastAsia="SimSun"/>
        </w:rPr>
        <w:t>decided that the statutory priority regime in the Corporations Act that gives employees of a company (among others) priority to proceeds of liquidation of property of th</w:t>
      </w:r>
      <w:r w:rsidR="00171B82">
        <w:rPr>
          <w:rFonts w:eastAsia="SimSun"/>
        </w:rPr>
        <w:t>e</w:t>
      </w:r>
      <w:r w:rsidR="00171B82" w:rsidRPr="00834D23">
        <w:rPr>
          <w:rFonts w:eastAsia="SimSun"/>
        </w:rPr>
        <w:t xml:space="preserve"> company over other creditors applies </w:t>
      </w:r>
      <w:r w:rsidR="00171B82">
        <w:rPr>
          <w:rFonts w:eastAsia="SimSun"/>
        </w:rPr>
        <w:t xml:space="preserve">equally </w:t>
      </w:r>
      <w:r w:rsidR="00171B82" w:rsidRPr="00834D23">
        <w:rPr>
          <w:rFonts w:eastAsia="SimSun"/>
        </w:rPr>
        <w:t xml:space="preserve">to property held </w:t>
      </w:r>
      <w:r w:rsidR="00171B82">
        <w:rPr>
          <w:rFonts w:eastAsia="SimSun"/>
        </w:rPr>
        <w:t xml:space="preserve">on </w:t>
      </w:r>
      <w:r w:rsidR="00171B82" w:rsidRPr="00834D23">
        <w:rPr>
          <w:rFonts w:eastAsia="SimSun"/>
        </w:rPr>
        <w:t>trust by the company</w:t>
      </w:r>
      <w:r w:rsidR="00171B82">
        <w:rPr>
          <w:rFonts w:eastAsia="SimSun"/>
        </w:rPr>
        <w:t>.</w:t>
      </w:r>
    </w:p>
    <w:p w14:paraId="07608289" w14:textId="4F2FF105" w:rsidR="006D3CD6" w:rsidRDefault="006D3CD6" w:rsidP="006D3CD6">
      <w:pPr>
        <w:pStyle w:val="EndnoteText"/>
        <w:ind w:left="709" w:hanging="709"/>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D535C" w14:textId="77777777" w:rsidR="0063388B" w:rsidRDefault="006338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Borders>
        <w:top w:val="single" w:sz="4" w:space="0" w:color="auto"/>
      </w:tblBorders>
      <w:tblLayout w:type="fixed"/>
      <w:tblCellMar>
        <w:left w:w="0" w:type="dxa"/>
        <w:right w:w="0" w:type="dxa"/>
      </w:tblCellMar>
      <w:tblLook w:val="0000" w:firstRow="0" w:lastRow="0" w:firstColumn="0" w:lastColumn="0" w:noHBand="0" w:noVBand="0"/>
    </w:tblPr>
    <w:tblGrid>
      <w:gridCol w:w="7088"/>
      <w:gridCol w:w="2268"/>
    </w:tblGrid>
    <w:tr w:rsidR="00262176" w14:paraId="2865CA0A" w14:textId="77777777" w:rsidTr="006D3CD6">
      <w:tc>
        <w:tcPr>
          <w:tcW w:w="7088" w:type="dxa"/>
        </w:tcPr>
        <w:p w14:paraId="35F6F046" w14:textId="5A1201DB" w:rsidR="006D3CD6" w:rsidRDefault="00777A6F" w:rsidP="006D3CD6">
          <w:pPr>
            <w:pStyle w:val="Footer"/>
            <w:ind w:left="0"/>
          </w:pPr>
          <w:r>
            <w:t xml:space="preserve">    </w:t>
          </w:r>
        </w:p>
      </w:tc>
      <w:tc>
        <w:tcPr>
          <w:tcW w:w="2268" w:type="dxa"/>
        </w:tcPr>
        <w:p w14:paraId="5D6C8CE3" w14:textId="77777777" w:rsidR="006D3CD6" w:rsidRDefault="00777A6F">
          <w:pPr>
            <w:pStyle w:val="Footer"/>
            <w:jc w:val="right"/>
          </w:pPr>
          <w:r>
            <w:rPr>
              <w:snapToGrid w:val="0"/>
            </w:rPr>
            <w:t xml:space="preserve">page </w:t>
          </w:r>
          <w:r>
            <w:rPr>
              <w:snapToGrid w:val="0"/>
            </w:rPr>
            <w:fldChar w:fldCharType="begin"/>
          </w:r>
          <w:r>
            <w:rPr>
              <w:snapToGrid w:val="0"/>
            </w:rPr>
            <w:instrText xml:space="preserve"> PAGE </w:instrText>
          </w:r>
          <w:r>
            <w:rPr>
              <w:snapToGrid w:val="0"/>
            </w:rPr>
            <w:fldChar w:fldCharType="separate"/>
          </w:r>
          <w:r>
            <w:rPr>
              <w:snapToGrid w:val="0"/>
            </w:rPr>
            <w:t>15</w:t>
          </w:r>
          <w:r>
            <w:rPr>
              <w:snapToGrid w:val="0"/>
            </w:rPr>
            <w:fldChar w:fldCharType="end"/>
          </w:r>
        </w:p>
      </w:tc>
    </w:tr>
  </w:tbl>
  <w:p w14:paraId="6404B8D9" w14:textId="77777777" w:rsidR="006D3CD6" w:rsidRDefault="006D3CD6" w:rsidP="006D3CD6">
    <w:pPr>
      <w:widowControl/>
      <w:spacing w:before="0" w:line="240" w:lineRule="auto"/>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EDE5B" w14:textId="77777777" w:rsidR="0063388B" w:rsidRDefault="006338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7D21D" w14:textId="77777777" w:rsidR="006E7E8A" w:rsidRDefault="006E7E8A">
      <w:pPr>
        <w:widowControl/>
      </w:pPr>
      <w:r>
        <w:separator/>
      </w:r>
    </w:p>
  </w:footnote>
  <w:footnote w:type="continuationSeparator" w:id="0">
    <w:p w14:paraId="05563211" w14:textId="77777777" w:rsidR="006E7E8A" w:rsidRDefault="006E7E8A">
      <w:pPr>
        <w:widowControl/>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842D4" w14:textId="77777777" w:rsidR="0063388B" w:rsidRDefault="006338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D1F5E" w14:textId="7B5FB419" w:rsidR="006D3CD6" w:rsidRDefault="006D3CD6">
    <w:pPr>
      <w:widowControl/>
      <w:spacing w:before="0" w:line="240" w:lineRule="auto"/>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457E0" w14:textId="77777777" w:rsidR="0063388B" w:rsidRDefault="006338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4AE24EBC"/>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00000001"/>
    <w:multiLevelType w:val="singleLevel"/>
    <w:tmpl w:val="6C52198E"/>
    <w:lvl w:ilvl="0">
      <w:start w:val="1"/>
      <w:numFmt w:val="lowerLetter"/>
      <w:pStyle w:val="ListNumber5"/>
      <w:lvlText w:val="(%1)"/>
      <w:lvlJc w:val="left"/>
      <w:pPr>
        <w:widowControl w:val="0"/>
        <w:tabs>
          <w:tab w:val="num" w:pos="720"/>
        </w:tabs>
        <w:autoSpaceDE w:val="0"/>
        <w:autoSpaceDN w:val="0"/>
        <w:adjustRightInd w:val="0"/>
        <w:spacing w:before="200" w:line="240" w:lineRule="atLeast"/>
        <w:ind w:left="720" w:hanging="720"/>
      </w:pPr>
      <w:rPr>
        <w:rFonts w:ascii="Arial" w:hAnsi="Arial" w:cs="Arial"/>
        <w:sz w:val="20"/>
        <w:szCs w:val="20"/>
      </w:rPr>
    </w:lvl>
  </w:abstractNum>
  <w:abstractNum w:abstractNumId="2" w15:restartNumberingAfterBreak="0">
    <w:nsid w:val="00000002"/>
    <w:multiLevelType w:val="singleLevel"/>
    <w:tmpl w:val="06F2D9F4"/>
    <w:lvl w:ilvl="0">
      <w:start w:val="1"/>
      <w:numFmt w:val="upperRoman"/>
      <w:pStyle w:val="ListNumber4"/>
      <w:lvlText w:val="%1."/>
      <w:lvlJc w:val="left"/>
      <w:pPr>
        <w:widowControl w:val="0"/>
        <w:tabs>
          <w:tab w:val="num" w:pos="720"/>
        </w:tabs>
        <w:autoSpaceDE w:val="0"/>
        <w:autoSpaceDN w:val="0"/>
        <w:adjustRightInd w:val="0"/>
        <w:spacing w:before="200" w:line="240" w:lineRule="atLeast"/>
        <w:ind w:left="720" w:hanging="720"/>
      </w:pPr>
      <w:rPr>
        <w:rFonts w:ascii="Arial" w:hAnsi="Arial" w:cs="Arial"/>
        <w:sz w:val="20"/>
        <w:szCs w:val="20"/>
      </w:rPr>
    </w:lvl>
  </w:abstractNum>
  <w:abstractNum w:abstractNumId="3" w15:restartNumberingAfterBreak="0">
    <w:nsid w:val="00000003"/>
    <w:multiLevelType w:val="singleLevel"/>
    <w:tmpl w:val="D0421448"/>
    <w:lvl w:ilvl="0">
      <w:start w:val="1"/>
      <w:numFmt w:val="upperLetter"/>
      <w:pStyle w:val="ListNumber3"/>
      <w:lvlText w:val="%1."/>
      <w:lvlJc w:val="left"/>
      <w:pPr>
        <w:widowControl w:val="0"/>
        <w:tabs>
          <w:tab w:val="num" w:pos="720"/>
        </w:tabs>
        <w:autoSpaceDE w:val="0"/>
        <w:autoSpaceDN w:val="0"/>
        <w:adjustRightInd w:val="0"/>
        <w:spacing w:before="200" w:line="240" w:lineRule="atLeast"/>
        <w:ind w:left="720" w:hanging="720"/>
      </w:pPr>
      <w:rPr>
        <w:rFonts w:ascii="Arial" w:hAnsi="Arial" w:cs="Arial"/>
        <w:sz w:val="20"/>
        <w:szCs w:val="20"/>
      </w:rPr>
    </w:lvl>
  </w:abstractNum>
  <w:abstractNum w:abstractNumId="4" w15:restartNumberingAfterBreak="0">
    <w:nsid w:val="00000004"/>
    <w:multiLevelType w:val="singleLevel"/>
    <w:tmpl w:val="8130A1E4"/>
    <w:lvl w:ilvl="0">
      <w:start w:val="1"/>
      <w:numFmt w:val="decimal"/>
      <w:pStyle w:val="ListNumber2"/>
      <w:lvlText w:val="(%1)"/>
      <w:lvlJc w:val="left"/>
      <w:pPr>
        <w:widowControl w:val="0"/>
        <w:tabs>
          <w:tab w:val="num" w:pos="720"/>
        </w:tabs>
        <w:autoSpaceDE w:val="0"/>
        <w:autoSpaceDN w:val="0"/>
        <w:adjustRightInd w:val="0"/>
        <w:spacing w:before="200" w:line="240" w:lineRule="atLeast"/>
        <w:ind w:left="720" w:hanging="720"/>
      </w:pPr>
      <w:rPr>
        <w:rFonts w:ascii="Arial" w:hAnsi="Arial" w:cs="Arial"/>
        <w:sz w:val="20"/>
        <w:szCs w:val="20"/>
      </w:rPr>
    </w:lvl>
  </w:abstractNum>
  <w:abstractNum w:abstractNumId="5" w15:restartNumberingAfterBreak="0">
    <w:nsid w:val="00000005"/>
    <w:multiLevelType w:val="singleLevel"/>
    <w:tmpl w:val="978C7C96"/>
    <w:lvl w:ilvl="0">
      <w:start w:val="1"/>
      <w:numFmt w:val="bullet"/>
      <w:pStyle w:val="ListBullet5"/>
      <w:lvlText w:val=""/>
      <w:lvlJc w:val="left"/>
      <w:pPr>
        <w:widowControl w:val="0"/>
        <w:tabs>
          <w:tab w:val="num" w:pos="720"/>
        </w:tabs>
        <w:autoSpaceDE w:val="0"/>
        <w:autoSpaceDN w:val="0"/>
        <w:adjustRightInd w:val="0"/>
        <w:spacing w:before="200" w:line="240" w:lineRule="atLeast"/>
        <w:ind w:left="720" w:hanging="720"/>
      </w:pPr>
      <w:rPr>
        <w:rFonts w:ascii="Wingdings" w:hAnsi="Wingdings" w:cs="Wingdings"/>
        <w:sz w:val="20"/>
        <w:szCs w:val="20"/>
      </w:rPr>
    </w:lvl>
  </w:abstractNum>
  <w:abstractNum w:abstractNumId="6" w15:restartNumberingAfterBreak="0">
    <w:nsid w:val="00000006"/>
    <w:multiLevelType w:val="singleLevel"/>
    <w:tmpl w:val="6C0C83E0"/>
    <w:lvl w:ilvl="0">
      <w:start w:val="1"/>
      <w:numFmt w:val="bullet"/>
      <w:pStyle w:val="ListBullet4"/>
      <w:lvlText w:val=""/>
      <w:lvlJc w:val="left"/>
      <w:pPr>
        <w:widowControl w:val="0"/>
        <w:tabs>
          <w:tab w:val="num" w:pos="720"/>
        </w:tabs>
        <w:autoSpaceDE w:val="0"/>
        <w:autoSpaceDN w:val="0"/>
        <w:adjustRightInd w:val="0"/>
        <w:spacing w:before="200" w:line="240" w:lineRule="atLeast"/>
        <w:ind w:left="720" w:hanging="720"/>
      </w:pPr>
      <w:rPr>
        <w:rFonts w:ascii="Wingdings" w:hAnsi="Wingdings" w:cs="Wingdings"/>
        <w:sz w:val="20"/>
        <w:szCs w:val="20"/>
      </w:rPr>
    </w:lvl>
  </w:abstractNum>
  <w:abstractNum w:abstractNumId="7" w15:restartNumberingAfterBreak="0">
    <w:nsid w:val="00000007"/>
    <w:multiLevelType w:val="singleLevel"/>
    <w:tmpl w:val="78023F7E"/>
    <w:lvl w:ilvl="0">
      <w:start w:val="1"/>
      <w:numFmt w:val="bullet"/>
      <w:pStyle w:val="ListBullet3"/>
      <w:lvlText w:val=""/>
      <w:lvlJc w:val="left"/>
      <w:pPr>
        <w:widowControl w:val="0"/>
        <w:tabs>
          <w:tab w:val="num" w:pos="720"/>
        </w:tabs>
        <w:autoSpaceDE w:val="0"/>
        <w:autoSpaceDN w:val="0"/>
        <w:adjustRightInd w:val="0"/>
        <w:spacing w:before="200" w:line="240" w:lineRule="atLeast"/>
        <w:ind w:left="720" w:hanging="720"/>
      </w:pPr>
      <w:rPr>
        <w:rFonts w:ascii="Wingdings" w:hAnsi="Wingdings" w:cs="Wingdings"/>
        <w:sz w:val="20"/>
        <w:szCs w:val="20"/>
      </w:rPr>
    </w:lvl>
  </w:abstractNum>
  <w:abstractNum w:abstractNumId="8" w15:restartNumberingAfterBreak="0">
    <w:nsid w:val="00000008"/>
    <w:multiLevelType w:val="singleLevel"/>
    <w:tmpl w:val="5A6A21AA"/>
    <w:lvl w:ilvl="0">
      <w:start w:val="1"/>
      <w:numFmt w:val="bullet"/>
      <w:pStyle w:val="ListBullet2"/>
      <w:lvlText w:val=""/>
      <w:lvlJc w:val="left"/>
      <w:pPr>
        <w:widowControl w:val="0"/>
        <w:tabs>
          <w:tab w:val="num" w:pos="720"/>
        </w:tabs>
        <w:autoSpaceDE w:val="0"/>
        <w:autoSpaceDN w:val="0"/>
        <w:adjustRightInd w:val="0"/>
        <w:spacing w:before="200" w:line="240" w:lineRule="atLeast"/>
        <w:ind w:left="720" w:hanging="720"/>
      </w:pPr>
      <w:rPr>
        <w:rFonts w:ascii="Symbol" w:hAnsi="Symbol" w:cs="Symbol"/>
        <w:color w:val="000000"/>
        <w:sz w:val="20"/>
        <w:szCs w:val="20"/>
      </w:rPr>
    </w:lvl>
  </w:abstractNum>
  <w:abstractNum w:abstractNumId="9" w15:restartNumberingAfterBreak="0">
    <w:nsid w:val="00000009"/>
    <w:multiLevelType w:val="singleLevel"/>
    <w:tmpl w:val="02D4BE2E"/>
    <w:lvl w:ilvl="0">
      <w:start w:val="1"/>
      <w:numFmt w:val="decimal"/>
      <w:pStyle w:val="ListNumber"/>
      <w:lvlText w:val="%1."/>
      <w:lvlJc w:val="left"/>
      <w:pPr>
        <w:widowControl w:val="0"/>
        <w:tabs>
          <w:tab w:val="num" w:pos="720"/>
        </w:tabs>
        <w:autoSpaceDE w:val="0"/>
        <w:autoSpaceDN w:val="0"/>
        <w:adjustRightInd w:val="0"/>
        <w:spacing w:before="200" w:line="240" w:lineRule="atLeast"/>
        <w:ind w:left="720" w:hanging="720"/>
      </w:pPr>
      <w:rPr>
        <w:rFonts w:ascii="Arial" w:hAnsi="Arial" w:cs="Arial"/>
        <w:sz w:val="20"/>
        <w:szCs w:val="20"/>
      </w:rPr>
    </w:lvl>
  </w:abstractNum>
  <w:abstractNum w:abstractNumId="10" w15:restartNumberingAfterBreak="0">
    <w:nsid w:val="0000000A"/>
    <w:multiLevelType w:val="singleLevel"/>
    <w:tmpl w:val="0D2247F0"/>
    <w:lvl w:ilvl="0">
      <w:start w:val="1"/>
      <w:numFmt w:val="bullet"/>
      <w:pStyle w:val="ListBullet"/>
      <w:lvlText w:val=""/>
      <w:lvlJc w:val="left"/>
      <w:pPr>
        <w:widowControl w:val="0"/>
        <w:tabs>
          <w:tab w:val="num" w:pos="720"/>
        </w:tabs>
        <w:autoSpaceDE w:val="0"/>
        <w:autoSpaceDN w:val="0"/>
        <w:adjustRightInd w:val="0"/>
        <w:spacing w:before="200" w:line="240" w:lineRule="atLeast"/>
        <w:ind w:left="720" w:hanging="720"/>
      </w:pPr>
      <w:rPr>
        <w:rFonts w:ascii="Symbol" w:hAnsi="Symbol" w:cs="Symbol"/>
        <w:sz w:val="20"/>
        <w:szCs w:val="20"/>
      </w:rPr>
    </w:lvl>
  </w:abstractNum>
  <w:abstractNum w:abstractNumId="11" w15:restartNumberingAfterBreak="0">
    <w:nsid w:val="0000000B"/>
    <w:multiLevelType w:val="multilevel"/>
    <w:tmpl w:val="EB7A4BF6"/>
    <w:lvl w:ilvl="0">
      <w:start w:val="1"/>
      <w:numFmt w:val="decimal"/>
      <w:pStyle w:val="Level1"/>
      <w:lvlText w:val="%1."/>
      <w:lvlJc w:val="left"/>
      <w:pPr>
        <w:widowControl w:val="0"/>
        <w:tabs>
          <w:tab w:val="num" w:pos="720"/>
        </w:tabs>
        <w:autoSpaceDE w:val="0"/>
        <w:autoSpaceDN w:val="0"/>
        <w:adjustRightInd w:val="0"/>
        <w:spacing w:before="200" w:line="240" w:lineRule="atLeast"/>
        <w:ind w:left="720" w:hanging="720"/>
      </w:pPr>
      <w:rPr>
        <w:rFonts w:ascii="Arial" w:hAnsi="Arial" w:cs="Arial"/>
        <w:b w:val="0"/>
        <w:i w:val="0"/>
        <w:iCs w:val="0"/>
        <w:sz w:val="20"/>
        <w:szCs w:val="20"/>
      </w:rPr>
    </w:lvl>
    <w:lvl w:ilvl="1">
      <w:start w:val="1"/>
      <w:numFmt w:val="decimal"/>
      <w:pStyle w:val="Level11"/>
      <w:lvlText w:val="%1.%2"/>
      <w:lvlJc w:val="left"/>
      <w:pPr>
        <w:widowControl w:val="0"/>
        <w:tabs>
          <w:tab w:val="num" w:pos="720"/>
        </w:tabs>
        <w:autoSpaceDE w:val="0"/>
        <w:autoSpaceDN w:val="0"/>
        <w:adjustRightInd w:val="0"/>
        <w:spacing w:before="200" w:line="240" w:lineRule="atLeast"/>
        <w:ind w:left="720" w:hanging="720"/>
      </w:pPr>
      <w:rPr>
        <w:rFonts w:ascii="Arial" w:hAnsi="Arial" w:cs="Arial"/>
        <w:sz w:val="20"/>
        <w:szCs w:val="20"/>
      </w:rPr>
    </w:lvl>
    <w:lvl w:ilvl="2">
      <w:start w:val="1"/>
      <w:numFmt w:val="lowerLetter"/>
      <w:pStyle w:val="Levela"/>
      <w:lvlText w:val="(%3)"/>
      <w:lvlJc w:val="left"/>
      <w:pPr>
        <w:widowControl w:val="0"/>
        <w:tabs>
          <w:tab w:val="num" w:pos="2564"/>
        </w:tabs>
        <w:autoSpaceDE w:val="0"/>
        <w:autoSpaceDN w:val="0"/>
        <w:adjustRightInd w:val="0"/>
        <w:spacing w:before="200" w:line="240" w:lineRule="atLeast"/>
        <w:ind w:left="2564" w:hanging="720"/>
      </w:pPr>
      <w:rPr>
        <w:rFonts w:ascii="Arial" w:hAnsi="Arial" w:cs="Arial"/>
        <w:b w:val="0"/>
        <w:bCs w:val="0"/>
        <w:sz w:val="20"/>
        <w:szCs w:val="20"/>
      </w:rPr>
    </w:lvl>
    <w:lvl w:ilvl="3">
      <w:start w:val="1"/>
      <w:numFmt w:val="lowerRoman"/>
      <w:pStyle w:val="Leveli"/>
      <w:lvlText w:val="(%4)"/>
      <w:lvlJc w:val="left"/>
      <w:pPr>
        <w:widowControl w:val="0"/>
        <w:tabs>
          <w:tab w:val="num" w:pos="2138"/>
        </w:tabs>
        <w:autoSpaceDE w:val="0"/>
        <w:autoSpaceDN w:val="0"/>
        <w:adjustRightInd w:val="0"/>
        <w:spacing w:before="200" w:line="240" w:lineRule="atLeast"/>
        <w:ind w:left="2138" w:hanging="720"/>
      </w:pPr>
      <w:rPr>
        <w:rFonts w:ascii="Arial" w:hAnsi="Arial" w:cs="Arial"/>
        <w:sz w:val="20"/>
        <w:szCs w:val="20"/>
      </w:rPr>
    </w:lvl>
    <w:lvl w:ilvl="4">
      <w:start w:val="1"/>
      <w:numFmt w:val="upperLetter"/>
      <w:pStyle w:val="LevelA0"/>
      <w:lvlText w:val="(%5)"/>
      <w:lvlJc w:val="left"/>
      <w:pPr>
        <w:widowControl w:val="0"/>
        <w:tabs>
          <w:tab w:val="num" w:pos="2880"/>
        </w:tabs>
        <w:autoSpaceDE w:val="0"/>
        <w:autoSpaceDN w:val="0"/>
        <w:adjustRightInd w:val="0"/>
        <w:spacing w:before="200" w:line="240" w:lineRule="atLeast"/>
        <w:ind w:left="2880" w:hanging="720"/>
      </w:pPr>
      <w:rPr>
        <w:rFonts w:ascii="Arial" w:hAnsi="Arial" w:cs="Arial"/>
        <w:sz w:val="20"/>
        <w:szCs w:val="20"/>
      </w:rPr>
    </w:lvl>
    <w:lvl w:ilvl="5">
      <w:start w:val="1"/>
      <w:numFmt w:val="upperRoman"/>
      <w:pStyle w:val="LevelI0"/>
      <w:lvlText w:val="(%6)"/>
      <w:lvlJc w:val="left"/>
      <w:pPr>
        <w:widowControl w:val="0"/>
        <w:tabs>
          <w:tab w:val="num" w:pos="3600"/>
        </w:tabs>
        <w:autoSpaceDE w:val="0"/>
        <w:autoSpaceDN w:val="0"/>
        <w:adjustRightInd w:val="0"/>
        <w:spacing w:before="200" w:line="240" w:lineRule="atLeast"/>
        <w:ind w:left="3600" w:hanging="720"/>
      </w:pPr>
      <w:rPr>
        <w:rFonts w:ascii="Arial" w:hAnsi="Arial" w:cs="Arial"/>
        <w:sz w:val="20"/>
        <w:szCs w:val="20"/>
      </w:rPr>
    </w:lvl>
    <w:lvl w:ilvl="6">
      <w:start w:val="1"/>
      <w:numFmt w:val="none"/>
      <w:suff w:val="nothing"/>
      <w:lvlText w:val=""/>
      <w:lvlJc w:val="left"/>
      <w:pPr>
        <w:widowControl w:val="0"/>
        <w:autoSpaceDE w:val="0"/>
        <w:autoSpaceDN w:val="0"/>
        <w:adjustRightInd w:val="0"/>
        <w:spacing w:before="200" w:line="240" w:lineRule="atLeast"/>
      </w:pPr>
      <w:rPr>
        <w:rFonts w:ascii="Arial" w:hAnsi="Arial" w:cs="Arial"/>
        <w:sz w:val="20"/>
        <w:szCs w:val="20"/>
      </w:rPr>
    </w:lvl>
    <w:lvl w:ilvl="7">
      <w:start w:val="1"/>
      <w:numFmt w:val="none"/>
      <w:suff w:val="nothing"/>
      <w:lvlText w:val=""/>
      <w:lvlJc w:val="left"/>
      <w:pPr>
        <w:widowControl w:val="0"/>
        <w:autoSpaceDE w:val="0"/>
        <w:autoSpaceDN w:val="0"/>
        <w:adjustRightInd w:val="0"/>
        <w:spacing w:before="200" w:line="240" w:lineRule="atLeast"/>
      </w:pPr>
      <w:rPr>
        <w:rFonts w:ascii="Arial" w:hAnsi="Arial" w:cs="Arial"/>
        <w:sz w:val="20"/>
        <w:szCs w:val="20"/>
      </w:rPr>
    </w:lvl>
    <w:lvl w:ilvl="8">
      <w:start w:val="1"/>
      <w:numFmt w:val="none"/>
      <w:suff w:val="nothing"/>
      <w:lvlText w:val=""/>
      <w:lvlJc w:val="left"/>
      <w:pPr>
        <w:widowControl w:val="0"/>
        <w:autoSpaceDE w:val="0"/>
        <w:autoSpaceDN w:val="0"/>
        <w:adjustRightInd w:val="0"/>
        <w:spacing w:before="200" w:line="240" w:lineRule="atLeast"/>
      </w:pPr>
      <w:rPr>
        <w:rFonts w:ascii="Arial" w:hAnsi="Arial" w:cs="Arial"/>
        <w:sz w:val="20"/>
        <w:szCs w:val="20"/>
      </w:rPr>
    </w:lvl>
  </w:abstractNum>
  <w:abstractNum w:abstractNumId="12" w15:restartNumberingAfterBreak="0">
    <w:nsid w:val="0000000C"/>
    <w:multiLevelType w:val="multilevel"/>
    <w:tmpl w:val="91FA86B0"/>
    <w:lvl w:ilvl="0">
      <w:start w:val="1"/>
      <w:numFmt w:val="none"/>
      <w:pStyle w:val="sch1"/>
      <w:suff w:val="nothing"/>
      <w:lvlText w:val=""/>
      <w:lvlJc w:val="left"/>
      <w:pPr>
        <w:widowControl w:val="0"/>
        <w:autoSpaceDE w:val="0"/>
        <w:autoSpaceDN w:val="0"/>
        <w:adjustRightInd w:val="0"/>
        <w:spacing w:before="200" w:line="240" w:lineRule="atLeast"/>
      </w:pPr>
      <w:rPr>
        <w:rFonts w:ascii="Arial" w:hAnsi="Arial" w:cs="Arial"/>
        <w:sz w:val="20"/>
        <w:szCs w:val="20"/>
      </w:rPr>
    </w:lvl>
    <w:lvl w:ilvl="1">
      <w:start w:val="1"/>
      <w:numFmt w:val="decimal"/>
      <w:pStyle w:val="sch2"/>
      <w:lvlText w:val="%2."/>
      <w:lvlJc w:val="left"/>
      <w:pPr>
        <w:widowControl w:val="0"/>
        <w:tabs>
          <w:tab w:val="num" w:pos="720"/>
        </w:tabs>
        <w:autoSpaceDE w:val="0"/>
        <w:autoSpaceDN w:val="0"/>
        <w:adjustRightInd w:val="0"/>
        <w:spacing w:before="200" w:line="240" w:lineRule="atLeast"/>
        <w:ind w:left="720" w:hanging="720"/>
      </w:pPr>
      <w:rPr>
        <w:rFonts w:ascii="Arial" w:hAnsi="Arial" w:cs="Arial"/>
        <w:sz w:val="20"/>
        <w:szCs w:val="20"/>
      </w:rPr>
    </w:lvl>
    <w:lvl w:ilvl="2">
      <w:start w:val="1"/>
      <w:numFmt w:val="decimal"/>
      <w:pStyle w:val="sch3"/>
      <w:lvlText w:val="%2.%3"/>
      <w:lvlJc w:val="left"/>
      <w:pPr>
        <w:widowControl w:val="0"/>
        <w:tabs>
          <w:tab w:val="num" w:pos="720"/>
        </w:tabs>
        <w:autoSpaceDE w:val="0"/>
        <w:autoSpaceDN w:val="0"/>
        <w:adjustRightInd w:val="0"/>
        <w:spacing w:before="200" w:line="240" w:lineRule="atLeast"/>
        <w:ind w:left="720" w:hanging="720"/>
      </w:pPr>
      <w:rPr>
        <w:rFonts w:ascii="Arial" w:hAnsi="Arial" w:cs="Arial"/>
        <w:sz w:val="20"/>
        <w:szCs w:val="20"/>
      </w:rPr>
    </w:lvl>
    <w:lvl w:ilvl="3">
      <w:start w:val="1"/>
      <w:numFmt w:val="lowerLetter"/>
      <w:pStyle w:val="sch4"/>
      <w:lvlText w:val="(%4)"/>
      <w:lvlJc w:val="left"/>
      <w:pPr>
        <w:widowControl w:val="0"/>
        <w:tabs>
          <w:tab w:val="num" w:pos="1440"/>
        </w:tabs>
        <w:autoSpaceDE w:val="0"/>
        <w:autoSpaceDN w:val="0"/>
        <w:adjustRightInd w:val="0"/>
        <w:spacing w:before="200" w:line="240" w:lineRule="atLeast"/>
        <w:ind w:left="1440" w:hanging="720"/>
      </w:pPr>
      <w:rPr>
        <w:rFonts w:ascii="Arial" w:hAnsi="Arial" w:cs="Arial"/>
        <w:sz w:val="20"/>
        <w:szCs w:val="20"/>
      </w:rPr>
    </w:lvl>
    <w:lvl w:ilvl="4">
      <w:start w:val="1"/>
      <w:numFmt w:val="lowerRoman"/>
      <w:pStyle w:val="sch5"/>
      <w:lvlText w:val="(%5)"/>
      <w:lvlJc w:val="left"/>
      <w:pPr>
        <w:widowControl w:val="0"/>
        <w:tabs>
          <w:tab w:val="num" w:pos="2160"/>
        </w:tabs>
        <w:autoSpaceDE w:val="0"/>
        <w:autoSpaceDN w:val="0"/>
        <w:adjustRightInd w:val="0"/>
        <w:spacing w:before="200" w:line="240" w:lineRule="atLeast"/>
        <w:ind w:left="2160" w:hanging="720"/>
      </w:pPr>
      <w:rPr>
        <w:rFonts w:ascii="Arial" w:hAnsi="Arial" w:cs="Arial"/>
        <w:sz w:val="20"/>
        <w:szCs w:val="20"/>
      </w:rPr>
    </w:lvl>
    <w:lvl w:ilvl="5">
      <w:start w:val="1"/>
      <w:numFmt w:val="upperLetter"/>
      <w:pStyle w:val="sch6"/>
      <w:lvlText w:val="(%6)"/>
      <w:lvlJc w:val="left"/>
      <w:pPr>
        <w:widowControl w:val="0"/>
        <w:tabs>
          <w:tab w:val="num" w:pos="2880"/>
        </w:tabs>
        <w:autoSpaceDE w:val="0"/>
        <w:autoSpaceDN w:val="0"/>
        <w:adjustRightInd w:val="0"/>
        <w:spacing w:before="200" w:line="240" w:lineRule="atLeast"/>
        <w:ind w:left="2880" w:hanging="720"/>
      </w:pPr>
      <w:rPr>
        <w:rFonts w:ascii="Arial" w:hAnsi="Arial" w:cs="Arial"/>
        <w:sz w:val="20"/>
        <w:szCs w:val="20"/>
      </w:rPr>
    </w:lvl>
    <w:lvl w:ilvl="6">
      <w:start w:val="1"/>
      <w:numFmt w:val="upperRoman"/>
      <w:pStyle w:val="sch7"/>
      <w:lvlText w:val="(%7)"/>
      <w:lvlJc w:val="left"/>
      <w:pPr>
        <w:widowControl w:val="0"/>
        <w:tabs>
          <w:tab w:val="num" w:pos="3600"/>
        </w:tabs>
        <w:autoSpaceDE w:val="0"/>
        <w:autoSpaceDN w:val="0"/>
        <w:adjustRightInd w:val="0"/>
        <w:spacing w:before="200" w:line="240" w:lineRule="atLeast"/>
        <w:ind w:left="3600" w:hanging="720"/>
      </w:pPr>
      <w:rPr>
        <w:rFonts w:ascii="Arial" w:hAnsi="Arial" w:cs="Arial"/>
        <w:sz w:val="20"/>
        <w:szCs w:val="20"/>
      </w:rPr>
    </w:lvl>
    <w:lvl w:ilvl="7">
      <w:start w:val="1"/>
      <w:numFmt w:val="none"/>
      <w:suff w:val="nothing"/>
      <w:lvlText w:val=""/>
      <w:lvlJc w:val="left"/>
      <w:pPr>
        <w:widowControl w:val="0"/>
        <w:autoSpaceDE w:val="0"/>
        <w:autoSpaceDN w:val="0"/>
        <w:adjustRightInd w:val="0"/>
        <w:spacing w:before="200" w:line="240" w:lineRule="atLeast"/>
      </w:pPr>
      <w:rPr>
        <w:rFonts w:ascii="Arial" w:hAnsi="Arial" w:cs="Arial"/>
        <w:sz w:val="20"/>
        <w:szCs w:val="20"/>
      </w:rPr>
    </w:lvl>
    <w:lvl w:ilvl="8">
      <w:start w:val="1"/>
      <w:numFmt w:val="none"/>
      <w:suff w:val="nothing"/>
      <w:lvlText w:val=""/>
      <w:lvlJc w:val="left"/>
      <w:pPr>
        <w:widowControl w:val="0"/>
        <w:autoSpaceDE w:val="0"/>
        <w:autoSpaceDN w:val="0"/>
        <w:adjustRightInd w:val="0"/>
        <w:spacing w:before="200" w:line="240" w:lineRule="atLeast"/>
      </w:pPr>
      <w:rPr>
        <w:rFonts w:ascii="Arial" w:hAnsi="Arial" w:cs="Arial"/>
        <w:sz w:val="20"/>
        <w:szCs w:val="20"/>
      </w:rPr>
    </w:lvl>
  </w:abstractNum>
  <w:abstractNum w:abstractNumId="13" w15:restartNumberingAfterBreak="0">
    <w:nsid w:val="0000000D"/>
    <w:multiLevelType w:val="multilevel"/>
    <w:tmpl w:val="8076C908"/>
    <w:lvl w:ilvl="0">
      <w:start w:val="1"/>
      <w:numFmt w:val="none"/>
      <w:pStyle w:val="Heading1"/>
      <w:suff w:val="nothing"/>
      <w:lvlText w:val=""/>
      <w:lvlJc w:val="left"/>
      <w:pPr>
        <w:widowControl w:val="0"/>
        <w:autoSpaceDE w:val="0"/>
        <w:autoSpaceDN w:val="0"/>
        <w:adjustRightInd w:val="0"/>
        <w:spacing w:before="200" w:line="240" w:lineRule="atLeast"/>
      </w:pPr>
      <w:rPr>
        <w:rFonts w:ascii="Arial" w:hAnsi="Arial" w:cs="Arial"/>
        <w:sz w:val="20"/>
        <w:szCs w:val="20"/>
      </w:rPr>
    </w:lvl>
    <w:lvl w:ilvl="1">
      <w:start w:val="1"/>
      <w:numFmt w:val="decimal"/>
      <w:pStyle w:val="Heading2"/>
      <w:lvlText w:val="%2."/>
      <w:lvlJc w:val="left"/>
      <w:pPr>
        <w:widowControl w:val="0"/>
        <w:tabs>
          <w:tab w:val="num" w:pos="720"/>
        </w:tabs>
        <w:autoSpaceDE w:val="0"/>
        <w:autoSpaceDN w:val="0"/>
        <w:adjustRightInd w:val="0"/>
        <w:spacing w:before="200" w:line="240" w:lineRule="atLeast"/>
        <w:ind w:left="720" w:hanging="720"/>
      </w:pPr>
      <w:rPr>
        <w:rFonts w:ascii="Arial" w:hAnsi="Arial" w:cs="Arial"/>
        <w:sz w:val="20"/>
        <w:szCs w:val="20"/>
      </w:rPr>
    </w:lvl>
    <w:lvl w:ilvl="2">
      <w:start w:val="1"/>
      <w:numFmt w:val="decimal"/>
      <w:pStyle w:val="Heading3"/>
      <w:lvlText w:val="%2.%3"/>
      <w:lvlJc w:val="left"/>
      <w:pPr>
        <w:widowControl w:val="0"/>
        <w:tabs>
          <w:tab w:val="num" w:pos="720"/>
        </w:tabs>
        <w:autoSpaceDE w:val="0"/>
        <w:autoSpaceDN w:val="0"/>
        <w:adjustRightInd w:val="0"/>
        <w:spacing w:before="200" w:line="240" w:lineRule="atLeast"/>
        <w:ind w:left="720" w:hanging="720"/>
      </w:pPr>
      <w:rPr>
        <w:rFonts w:ascii="Arial" w:hAnsi="Arial" w:cs="Arial"/>
        <w:sz w:val="20"/>
        <w:szCs w:val="20"/>
      </w:rPr>
    </w:lvl>
    <w:lvl w:ilvl="3">
      <w:start w:val="1"/>
      <w:numFmt w:val="lowerLetter"/>
      <w:pStyle w:val="Heading4"/>
      <w:lvlText w:val="(%4)"/>
      <w:lvlJc w:val="left"/>
      <w:pPr>
        <w:widowControl w:val="0"/>
        <w:tabs>
          <w:tab w:val="num" w:pos="1440"/>
        </w:tabs>
        <w:autoSpaceDE w:val="0"/>
        <w:autoSpaceDN w:val="0"/>
        <w:adjustRightInd w:val="0"/>
        <w:spacing w:before="200" w:line="240" w:lineRule="atLeast"/>
        <w:ind w:left="1440" w:hanging="720"/>
      </w:pPr>
      <w:rPr>
        <w:rFonts w:ascii="Arial" w:hAnsi="Arial" w:cs="Arial"/>
        <w:sz w:val="20"/>
        <w:szCs w:val="20"/>
      </w:rPr>
    </w:lvl>
    <w:lvl w:ilvl="4">
      <w:start w:val="1"/>
      <w:numFmt w:val="lowerRoman"/>
      <w:pStyle w:val="Heading5"/>
      <w:lvlText w:val="(%5)"/>
      <w:lvlJc w:val="left"/>
      <w:pPr>
        <w:widowControl w:val="0"/>
        <w:tabs>
          <w:tab w:val="num" w:pos="2160"/>
        </w:tabs>
        <w:autoSpaceDE w:val="0"/>
        <w:autoSpaceDN w:val="0"/>
        <w:adjustRightInd w:val="0"/>
        <w:spacing w:before="200" w:line="240" w:lineRule="atLeast"/>
        <w:ind w:left="2160" w:hanging="720"/>
      </w:pPr>
      <w:rPr>
        <w:rFonts w:ascii="Arial" w:hAnsi="Arial" w:cs="Arial"/>
        <w:sz w:val="20"/>
        <w:szCs w:val="20"/>
      </w:rPr>
    </w:lvl>
    <w:lvl w:ilvl="5">
      <w:start w:val="1"/>
      <w:numFmt w:val="upperLetter"/>
      <w:pStyle w:val="Heading6"/>
      <w:lvlText w:val="(%6)"/>
      <w:lvlJc w:val="left"/>
      <w:pPr>
        <w:widowControl w:val="0"/>
        <w:tabs>
          <w:tab w:val="num" w:pos="2880"/>
        </w:tabs>
        <w:autoSpaceDE w:val="0"/>
        <w:autoSpaceDN w:val="0"/>
        <w:adjustRightInd w:val="0"/>
        <w:spacing w:before="200" w:line="240" w:lineRule="atLeast"/>
        <w:ind w:left="2880" w:hanging="720"/>
      </w:pPr>
      <w:rPr>
        <w:rFonts w:ascii="Arial" w:hAnsi="Arial" w:cs="Arial"/>
        <w:sz w:val="20"/>
        <w:szCs w:val="20"/>
      </w:rPr>
    </w:lvl>
    <w:lvl w:ilvl="6">
      <w:start w:val="1"/>
      <w:numFmt w:val="upperRoman"/>
      <w:pStyle w:val="Heading7"/>
      <w:lvlText w:val="(%7)"/>
      <w:lvlJc w:val="left"/>
      <w:pPr>
        <w:widowControl w:val="0"/>
        <w:tabs>
          <w:tab w:val="num" w:pos="3600"/>
        </w:tabs>
        <w:autoSpaceDE w:val="0"/>
        <w:autoSpaceDN w:val="0"/>
        <w:adjustRightInd w:val="0"/>
        <w:spacing w:before="200" w:line="240" w:lineRule="atLeast"/>
        <w:ind w:left="3600" w:hanging="720"/>
      </w:pPr>
      <w:rPr>
        <w:rFonts w:ascii="Arial" w:hAnsi="Arial" w:cs="Arial"/>
        <w:sz w:val="20"/>
        <w:szCs w:val="20"/>
      </w:rPr>
    </w:lvl>
    <w:lvl w:ilvl="7">
      <w:start w:val="1"/>
      <w:numFmt w:val="none"/>
      <w:pStyle w:val="Heading8"/>
      <w:suff w:val="nothing"/>
      <w:lvlText w:val=""/>
      <w:lvlJc w:val="left"/>
      <w:pPr>
        <w:widowControl w:val="0"/>
        <w:autoSpaceDE w:val="0"/>
        <w:autoSpaceDN w:val="0"/>
        <w:adjustRightInd w:val="0"/>
        <w:spacing w:before="200" w:line="240" w:lineRule="atLeast"/>
      </w:pPr>
      <w:rPr>
        <w:rFonts w:ascii="Arial" w:hAnsi="Arial" w:cs="Arial"/>
        <w:sz w:val="20"/>
        <w:szCs w:val="20"/>
      </w:rPr>
    </w:lvl>
    <w:lvl w:ilvl="8">
      <w:start w:val="1"/>
      <w:numFmt w:val="none"/>
      <w:pStyle w:val="Heading9"/>
      <w:suff w:val="nothing"/>
      <w:lvlText w:val=""/>
      <w:lvlJc w:val="left"/>
      <w:pPr>
        <w:widowControl w:val="0"/>
        <w:autoSpaceDE w:val="0"/>
        <w:autoSpaceDN w:val="0"/>
        <w:adjustRightInd w:val="0"/>
        <w:spacing w:before="200" w:line="240" w:lineRule="atLeast"/>
      </w:pPr>
      <w:rPr>
        <w:rFonts w:ascii="Arial" w:hAnsi="Arial" w:cs="Arial"/>
        <w:sz w:val="20"/>
        <w:szCs w:val="20"/>
      </w:rPr>
    </w:lvl>
  </w:abstractNum>
  <w:abstractNum w:abstractNumId="14" w15:restartNumberingAfterBreak="0">
    <w:nsid w:val="19D93DFD"/>
    <w:multiLevelType w:val="singleLevel"/>
    <w:tmpl w:val="18B40616"/>
    <w:lvl w:ilvl="0">
      <w:start w:val="1"/>
      <w:numFmt w:val="bullet"/>
      <w:lvlText w:val=""/>
      <w:lvlJc w:val="left"/>
      <w:pPr>
        <w:tabs>
          <w:tab w:val="num" w:pos="567"/>
        </w:tabs>
        <w:ind w:left="567" w:hanging="567"/>
      </w:pPr>
      <w:rPr>
        <w:rFonts w:ascii="Symbol" w:hAnsi="Symbol" w:hint="default"/>
      </w:rPr>
    </w:lvl>
  </w:abstractNum>
  <w:abstractNum w:abstractNumId="15" w15:restartNumberingAfterBreak="0">
    <w:nsid w:val="41173ED0"/>
    <w:multiLevelType w:val="multilevel"/>
    <w:tmpl w:val="EADCC2B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upperRoman"/>
      <w:lvlText w:val="(%6)"/>
      <w:lvlJc w:val="left"/>
      <w:pPr>
        <w:tabs>
          <w:tab w:val="num" w:pos="3600"/>
        </w:tabs>
        <w:ind w:left="3600" w:hanging="72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4B00148A"/>
    <w:multiLevelType w:val="hybridMultilevel"/>
    <w:tmpl w:val="532C1BFE"/>
    <w:lvl w:ilvl="0" w:tplc="A664F616">
      <w:start w:val="1"/>
      <w:numFmt w:val="bullet"/>
      <w:lvlText w:val=""/>
      <w:lvlJc w:val="left"/>
      <w:pPr>
        <w:ind w:left="760" w:hanging="360"/>
      </w:pPr>
      <w:rPr>
        <w:rFonts w:ascii="Symbol" w:hAnsi="Symbol" w:hint="default"/>
      </w:rPr>
    </w:lvl>
    <w:lvl w:ilvl="1" w:tplc="4134C93E" w:tentative="1">
      <w:start w:val="1"/>
      <w:numFmt w:val="bullet"/>
      <w:lvlText w:val="o"/>
      <w:lvlJc w:val="left"/>
      <w:pPr>
        <w:ind w:left="1480" w:hanging="360"/>
      </w:pPr>
      <w:rPr>
        <w:rFonts w:ascii="Courier New" w:hAnsi="Courier New" w:cs="Courier New" w:hint="default"/>
      </w:rPr>
    </w:lvl>
    <w:lvl w:ilvl="2" w:tplc="E6EC99D0" w:tentative="1">
      <w:start w:val="1"/>
      <w:numFmt w:val="bullet"/>
      <w:lvlText w:val=""/>
      <w:lvlJc w:val="left"/>
      <w:pPr>
        <w:ind w:left="2200" w:hanging="360"/>
      </w:pPr>
      <w:rPr>
        <w:rFonts w:ascii="Wingdings" w:hAnsi="Wingdings" w:hint="default"/>
      </w:rPr>
    </w:lvl>
    <w:lvl w:ilvl="3" w:tplc="560A0F2A" w:tentative="1">
      <w:start w:val="1"/>
      <w:numFmt w:val="bullet"/>
      <w:lvlText w:val=""/>
      <w:lvlJc w:val="left"/>
      <w:pPr>
        <w:ind w:left="2920" w:hanging="360"/>
      </w:pPr>
      <w:rPr>
        <w:rFonts w:ascii="Symbol" w:hAnsi="Symbol" w:hint="default"/>
      </w:rPr>
    </w:lvl>
    <w:lvl w:ilvl="4" w:tplc="1E2AA6DC" w:tentative="1">
      <w:start w:val="1"/>
      <w:numFmt w:val="bullet"/>
      <w:lvlText w:val="o"/>
      <w:lvlJc w:val="left"/>
      <w:pPr>
        <w:ind w:left="3640" w:hanging="360"/>
      </w:pPr>
      <w:rPr>
        <w:rFonts w:ascii="Courier New" w:hAnsi="Courier New" w:cs="Courier New" w:hint="default"/>
      </w:rPr>
    </w:lvl>
    <w:lvl w:ilvl="5" w:tplc="F9527D62" w:tentative="1">
      <w:start w:val="1"/>
      <w:numFmt w:val="bullet"/>
      <w:lvlText w:val=""/>
      <w:lvlJc w:val="left"/>
      <w:pPr>
        <w:ind w:left="4360" w:hanging="360"/>
      </w:pPr>
      <w:rPr>
        <w:rFonts w:ascii="Wingdings" w:hAnsi="Wingdings" w:hint="default"/>
      </w:rPr>
    </w:lvl>
    <w:lvl w:ilvl="6" w:tplc="9DAC8028" w:tentative="1">
      <w:start w:val="1"/>
      <w:numFmt w:val="bullet"/>
      <w:lvlText w:val=""/>
      <w:lvlJc w:val="left"/>
      <w:pPr>
        <w:ind w:left="5080" w:hanging="360"/>
      </w:pPr>
      <w:rPr>
        <w:rFonts w:ascii="Symbol" w:hAnsi="Symbol" w:hint="default"/>
      </w:rPr>
    </w:lvl>
    <w:lvl w:ilvl="7" w:tplc="00F40A4A" w:tentative="1">
      <w:start w:val="1"/>
      <w:numFmt w:val="bullet"/>
      <w:lvlText w:val="o"/>
      <w:lvlJc w:val="left"/>
      <w:pPr>
        <w:ind w:left="5800" w:hanging="360"/>
      </w:pPr>
      <w:rPr>
        <w:rFonts w:ascii="Courier New" w:hAnsi="Courier New" w:cs="Courier New" w:hint="default"/>
      </w:rPr>
    </w:lvl>
    <w:lvl w:ilvl="8" w:tplc="F6467A80" w:tentative="1">
      <w:start w:val="1"/>
      <w:numFmt w:val="bullet"/>
      <w:lvlText w:val=""/>
      <w:lvlJc w:val="left"/>
      <w:pPr>
        <w:ind w:left="6520" w:hanging="360"/>
      </w:pPr>
      <w:rPr>
        <w:rFonts w:ascii="Wingdings" w:hAnsi="Wingdings" w:hint="default"/>
      </w:rPr>
    </w:lvl>
  </w:abstractNum>
  <w:abstractNum w:abstractNumId="17" w15:restartNumberingAfterBreak="0">
    <w:nsid w:val="5B690DDD"/>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99382351">
    <w:abstractNumId w:val="10"/>
  </w:num>
  <w:num w:numId="2" w16cid:durableId="1080256689">
    <w:abstractNumId w:val="8"/>
  </w:num>
  <w:num w:numId="3" w16cid:durableId="176818247">
    <w:abstractNumId w:val="7"/>
  </w:num>
  <w:num w:numId="4" w16cid:durableId="730620539">
    <w:abstractNumId w:val="6"/>
  </w:num>
  <w:num w:numId="5" w16cid:durableId="1300454613">
    <w:abstractNumId w:val="5"/>
  </w:num>
  <w:num w:numId="6" w16cid:durableId="869301746">
    <w:abstractNumId w:val="9"/>
  </w:num>
  <w:num w:numId="7" w16cid:durableId="252788137">
    <w:abstractNumId w:val="4"/>
  </w:num>
  <w:num w:numId="8" w16cid:durableId="1247225367">
    <w:abstractNumId w:val="3"/>
  </w:num>
  <w:num w:numId="9" w16cid:durableId="2067995436">
    <w:abstractNumId w:val="2"/>
  </w:num>
  <w:num w:numId="10" w16cid:durableId="234630227">
    <w:abstractNumId w:val="1"/>
  </w:num>
  <w:num w:numId="11" w16cid:durableId="674724061">
    <w:abstractNumId w:val="12"/>
  </w:num>
  <w:num w:numId="12" w16cid:durableId="442531694">
    <w:abstractNumId w:val="11"/>
  </w:num>
  <w:num w:numId="13" w16cid:durableId="2102750067">
    <w:abstractNumId w:val="13"/>
  </w:num>
  <w:num w:numId="14" w16cid:durableId="18825897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53045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1914901">
    <w:abstractNumId w:val="17"/>
  </w:num>
  <w:num w:numId="17" w16cid:durableId="1982727841">
    <w:abstractNumId w:val="16"/>
  </w:num>
  <w:num w:numId="18" w16cid:durableId="51538485">
    <w:abstractNumId w:val="11"/>
  </w:num>
  <w:num w:numId="19" w16cid:durableId="1208296901">
    <w:abstractNumId w:val="11"/>
  </w:num>
  <w:num w:numId="20" w16cid:durableId="650526929">
    <w:abstractNumId w:val="11"/>
  </w:num>
  <w:num w:numId="21" w16cid:durableId="1092429598">
    <w:abstractNumId w:val="11"/>
  </w:num>
  <w:num w:numId="22" w16cid:durableId="1618952163">
    <w:abstractNumId w:val="11"/>
  </w:num>
  <w:num w:numId="23" w16cid:durableId="388385801">
    <w:abstractNumId w:val="11"/>
  </w:num>
  <w:num w:numId="24" w16cid:durableId="1176503686">
    <w:abstractNumId w:val="15"/>
  </w:num>
  <w:num w:numId="25" w16cid:durableId="289434300">
    <w:abstractNumId w:val="11"/>
  </w:num>
  <w:num w:numId="26" w16cid:durableId="41447297">
    <w:abstractNumId w:val="11"/>
  </w:num>
  <w:num w:numId="27" w16cid:durableId="2004161462">
    <w:abstractNumId w:val="11"/>
  </w:num>
  <w:num w:numId="28" w16cid:durableId="1901551206">
    <w:abstractNumId w:val="11"/>
  </w:num>
  <w:num w:numId="29" w16cid:durableId="722481486">
    <w:abstractNumId w:val="11"/>
  </w:num>
  <w:num w:numId="30" w16cid:durableId="798913373">
    <w:abstractNumId w:val="11"/>
  </w:num>
  <w:num w:numId="31" w16cid:durableId="379206258">
    <w:abstractNumId w:val="14"/>
  </w:num>
  <w:num w:numId="32" w16cid:durableId="1814249815">
    <w:abstractNumId w:val="11"/>
  </w:num>
  <w:num w:numId="33" w16cid:durableId="1976255194">
    <w:abstractNumId w:val="11"/>
  </w:num>
  <w:num w:numId="34" w16cid:durableId="241767405">
    <w:abstractNumId w:val="11"/>
  </w:num>
  <w:num w:numId="35" w16cid:durableId="735054304">
    <w:abstractNumId w:val="11"/>
  </w:num>
  <w:num w:numId="36" w16cid:durableId="9454501">
    <w:abstractNumId w:val="11"/>
  </w:num>
  <w:num w:numId="37" w16cid:durableId="1321157483">
    <w:abstractNumId w:val="11"/>
  </w:num>
  <w:num w:numId="38" w16cid:durableId="1108893262">
    <w:abstractNumId w:val="0"/>
  </w:num>
  <w:num w:numId="39" w16cid:durableId="4705630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SortMethod w:val="0000"/>
  <w:doNotTrackFormatting/>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numFmt w:val="decimal"/>
    <w:endnote w:id="-1"/>
    <w:endnote w:id="0"/>
  </w:endnotePr>
  <w:compat>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934"/>
    <w:rsid w:val="000032CE"/>
    <w:rsid w:val="000109C4"/>
    <w:rsid w:val="0001288C"/>
    <w:rsid w:val="00013E64"/>
    <w:rsid w:val="00015A18"/>
    <w:rsid w:val="00021A4C"/>
    <w:rsid w:val="00033C02"/>
    <w:rsid w:val="0003457F"/>
    <w:rsid w:val="00035862"/>
    <w:rsid w:val="00043435"/>
    <w:rsid w:val="00043A35"/>
    <w:rsid w:val="0004500F"/>
    <w:rsid w:val="00047646"/>
    <w:rsid w:val="00067F10"/>
    <w:rsid w:val="000726B3"/>
    <w:rsid w:val="00072AD8"/>
    <w:rsid w:val="00072D88"/>
    <w:rsid w:val="000744D4"/>
    <w:rsid w:val="0008424A"/>
    <w:rsid w:val="00084BF8"/>
    <w:rsid w:val="00084F40"/>
    <w:rsid w:val="00087400"/>
    <w:rsid w:val="000A116D"/>
    <w:rsid w:val="000A13BA"/>
    <w:rsid w:val="000B16D9"/>
    <w:rsid w:val="000B1F54"/>
    <w:rsid w:val="000B4A15"/>
    <w:rsid w:val="000B7307"/>
    <w:rsid w:val="000C09A3"/>
    <w:rsid w:val="000C5D04"/>
    <w:rsid w:val="000D08D7"/>
    <w:rsid w:val="000D22FC"/>
    <w:rsid w:val="000D2E91"/>
    <w:rsid w:val="000D3CEE"/>
    <w:rsid w:val="000D4D69"/>
    <w:rsid w:val="000D5195"/>
    <w:rsid w:val="000D5326"/>
    <w:rsid w:val="000E2E64"/>
    <w:rsid w:val="000E68FD"/>
    <w:rsid w:val="000F0AA6"/>
    <w:rsid w:val="000F3A34"/>
    <w:rsid w:val="000F4E33"/>
    <w:rsid w:val="000F6F33"/>
    <w:rsid w:val="000F6F34"/>
    <w:rsid w:val="001015F2"/>
    <w:rsid w:val="001042DF"/>
    <w:rsid w:val="00107DB6"/>
    <w:rsid w:val="001115B0"/>
    <w:rsid w:val="00112180"/>
    <w:rsid w:val="0011353C"/>
    <w:rsid w:val="00114B12"/>
    <w:rsid w:val="001161E5"/>
    <w:rsid w:val="00116B68"/>
    <w:rsid w:val="0012103D"/>
    <w:rsid w:val="001240C1"/>
    <w:rsid w:val="001256D7"/>
    <w:rsid w:val="00127CAD"/>
    <w:rsid w:val="0013031D"/>
    <w:rsid w:val="00130CF6"/>
    <w:rsid w:val="00131CD0"/>
    <w:rsid w:val="0013282C"/>
    <w:rsid w:val="00136530"/>
    <w:rsid w:val="00136B1D"/>
    <w:rsid w:val="00140C43"/>
    <w:rsid w:val="001423E0"/>
    <w:rsid w:val="00147605"/>
    <w:rsid w:val="00150BB3"/>
    <w:rsid w:val="00154D69"/>
    <w:rsid w:val="00155EDA"/>
    <w:rsid w:val="00157D61"/>
    <w:rsid w:val="00163FF7"/>
    <w:rsid w:val="0017150A"/>
    <w:rsid w:val="00171B82"/>
    <w:rsid w:val="00174919"/>
    <w:rsid w:val="001852F4"/>
    <w:rsid w:val="00194619"/>
    <w:rsid w:val="001A202D"/>
    <w:rsid w:val="001A21C6"/>
    <w:rsid w:val="001C1E75"/>
    <w:rsid w:val="001C60EC"/>
    <w:rsid w:val="001C7366"/>
    <w:rsid w:val="001C7974"/>
    <w:rsid w:val="001D2EF9"/>
    <w:rsid w:val="001D37AE"/>
    <w:rsid w:val="001D7CEB"/>
    <w:rsid w:val="001E3342"/>
    <w:rsid w:val="001F471B"/>
    <w:rsid w:val="001F4F7E"/>
    <w:rsid w:val="001F5195"/>
    <w:rsid w:val="001F736B"/>
    <w:rsid w:val="00207B4C"/>
    <w:rsid w:val="00211C93"/>
    <w:rsid w:val="00214BE4"/>
    <w:rsid w:val="00215D94"/>
    <w:rsid w:val="002162BF"/>
    <w:rsid w:val="00216FEC"/>
    <w:rsid w:val="00220754"/>
    <w:rsid w:val="00221671"/>
    <w:rsid w:val="00223072"/>
    <w:rsid w:val="00225B3D"/>
    <w:rsid w:val="002338F5"/>
    <w:rsid w:val="00234B3C"/>
    <w:rsid w:val="00236C38"/>
    <w:rsid w:val="00236ED2"/>
    <w:rsid w:val="002374EE"/>
    <w:rsid w:val="00243462"/>
    <w:rsid w:val="00256A34"/>
    <w:rsid w:val="00262112"/>
    <w:rsid w:val="00262176"/>
    <w:rsid w:val="0028667C"/>
    <w:rsid w:val="00287738"/>
    <w:rsid w:val="00292B29"/>
    <w:rsid w:val="00293518"/>
    <w:rsid w:val="002A1AAE"/>
    <w:rsid w:val="002A7DA7"/>
    <w:rsid w:val="002B0198"/>
    <w:rsid w:val="002B1C6E"/>
    <w:rsid w:val="002B2700"/>
    <w:rsid w:val="002C3E4F"/>
    <w:rsid w:val="002C589C"/>
    <w:rsid w:val="002C6BE5"/>
    <w:rsid w:val="002D1EFA"/>
    <w:rsid w:val="002D216F"/>
    <w:rsid w:val="002E05E3"/>
    <w:rsid w:val="002E4E1D"/>
    <w:rsid w:val="002E7415"/>
    <w:rsid w:val="002F425C"/>
    <w:rsid w:val="00305F37"/>
    <w:rsid w:val="003067FA"/>
    <w:rsid w:val="00320078"/>
    <w:rsid w:val="00327E9F"/>
    <w:rsid w:val="003373B7"/>
    <w:rsid w:val="00337FEA"/>
    <w:rsid w:val="00340109"/>
    <w:rsid w:val="00340F1A"/>
    <w:rsid w:val="00345A85"/>
    <w:rsid w:val="0034735C"/>
    <w:rsid w:val="00347432"/>
    <w:rsid w:val="00350E9B"/>
    <w:rsid w:val="00350F87"/>
    <w:rsid w:val="00352089"/>
    <w:rsid w:val="003535FD"/>
    <w:rsid w:val="00371416"/>
    <w:rsid w:val="00383E36"/>
    <w:rsid w:val="003874FE"/>
    <w:rsid w:val="00390C05"/>
    <w:rsid w:val="0039293A"/>
    <w:rsid w:val="00395AB2"/>
    <w:rsid w:val="00397272"/>
    <w:rsid w:val="003977DB"/>
    <w:rsid w:val="003A7943"/>
    <w:rsid w:val="003B190D"/>
    <w:rsid w:val="003B405F"/>
    <w:rsid w:val="003B557E"/>
    <w:rsid w:val="003C2154"/>
    <w:rsid w:val="003D2EFF"/>
    <w:rsid w:val="003D7D3A"/>
    <w:rsid w:val="003E2259"/>
    <w:rsid w:val="003E2560"/>
    <w:rsid w:val="003E28A4"/>
    <w:rsid w:val="003E4B57"/>
    <w:rsid w:val="003E5FEA"/>
    <w:rsid w:val="003F5E49"/>
    <w:rsid w:val="00402F43"/>
    <w:rsid w:val="004050DF"/>
    <w:rsid w:val="00407F35"/>
    <w:rsid w:val="004103DD"/>
    <w:rsid w:val="00415A6C"/>
    <w:rsid w:val="004162E4"/>
    <w:rsid w:val="004163BD"/>
    <w:rsid w:val="00420201"/>
    <w:rsid w:val="00423CE6"/>
    <w:rsid w:val="00425D53"/>
    <w:rsid w:val="00446AE6"/>
    <w:rsid w:val="00465A7C"/>
    <w:rsid w:val="004721F7"/>
    <w:rsid w:val="00473934"/>
    <w:rsid w:val="00482E25"/>
    <w:rsid w:val="00484A1F"/>
    <w:rsid w:val="00484E40"/>
    <w:rsid w:val="004869D0"/>
    <w:rsid w:val="00487C1A"/>
    <w:rsid w:val="00487EA6"/>
    <w:rsid w:val="00491E6C"/>
    <w:rsid w:val="004926FA"/>
    <w:rsid w:val="00494925"/>
    <w:rsid w:val="0049732A"/>
    <w:rsid w:val="004B3B0C"/>
    <w:rsid w:val="004B3BE0"/>
    <w:rsid w:val="004B53B3"/>
    <w:rsid w:val="004C4CAF"/>
    <w:rsid w:val="004D0DA6"/>
    <w:rsid w:val="004D1B7B"/>
    <w:rsid w:val="004D5E2E"/>
    <w:rsid w:val="004E3087"/>
    <w:rsid w:val="004E378D"/>
    <w:rsid w:val="004E4ADE"/>
    <w:rsid w:val="004E7C63"/>
    <w:rsid w:val="004F2CCA"/>
    <w:rsid w:val="005000C1"/>
    <w:rsid w:val="005018BF"/>
    <w:rsid w:val="00505D9B"/>
    <w:rsid w:val="005101B3"/>
    <w:rsid w:val="00511E06"/>
    <w:rsid w:val="0051270D"/>
    <w:rsid w:val="005127C6"/>
    <w:rsid w:val="00513CD5"/>
    <w:rsid w:val="0052157A"/>
    <w:rsid w:val="005222FE"/>
    <w:rsid w:val="00524045"/>
    <w:rsid w:val="00525413"/>
    <w:rsid w:val="00526BA3"/>
    <w:rsid w:val="00527EAD"/>
    <w:rsid w:val="005364CD"/>
    <w:rsid w:val="00540DD3"/>
    <w:rsid w:val="0054570E"/>
    <w:rsid w:val="00545DFC"/>
    <w:rsid w:val="005510B7"/>
    <w:rsid w:val="005514AB"/>
    <w:rsid w:val="0055528C"/>
    <w:rsid w:val="00560C7C"/>
    <w:rsid w:val="0056196F"/>
    <w:rsid w:val="005739C2"/>
    <w:rsid w:val="00575146"/>
    <w:rsid w:val="00585B02"/>
    <w:rsid w:val="00586AAC"/>
    <w:rsid w:val="00591E91"/>
    <w:rsid w:val="005A1813"/>
    <w:rsid w:val="005A19F1"/>
    <w:rsid w:val="005A6910"/>
    <w:rsid w:val="005A7632"/>
    <w:rsid w:val="005A7876"/>
    <w:rsid w:val="005A7FC5"/>
    <w:rsid w:val="005B12BB"/>
    <w:rsid w:val="005B2209"/>
    <w:rsid w:val="005B29FA"/>
    <w:rsid w:val="005B30B2"/>
    <w:rsid w:val="005B3B08"/>
    <w:rsid w:val="005C0308"/>
    <w:rsid w:val="005C0AC1"/>
    <w:rsid w:val="005C1901"/>
    <w:rsid w:val="005C5854"/>
    <w:rsid w:val="005D1D7F"/>
    <w:rsid w:val="005D2F61"/>
    <w:rsid w:val="005D7E82"/>
    <w:rsid w:val="005E12D4"/>
    <w:rsid w:val="005F2373"/>
    <w:rsid w:val="005F4105"/>
    <w:rsid w:val="005F51DD"/>
    <w:rsid w:val="00604C83"/>
    <w:rsid w:val="00616BF1"/>
    <w:rsid w:val="00623B66"/>
    <w:rsid w:val="0063388B"/>
    <w:rsid w:val="00642623"/>
    <w:rsid w:val="0064540D"/>
    <w:rsid w:val="00645D7E"/>
    <w:rsid w:val="0065071F"/>
    <w:rsid w:val="00653872"/>
    <w:rsid w:val="006647FF"/>
    <w:rsid w:val="006660FA"/>
    <w:rsid w:val="00667787"/>
    <w:rsid w:val="00672032"/>
    <w:rsid w:val="0067236B"/>
    <w:rsid w:val="00672CEB"/>
    <w:rsid w:val="006749D4"/>
    <w:rsid w:val="00674D15"/>
    <w:rsid w:val="00675A8A"/>
    <w:rsid w:val="00680F9C"/>
    <w:rsid w:val="006841A4"/>
    <w:rsid w:val="006A0EA7"/>
    <w:rsid w:val="006A4EF9"/>
    <w:rsid w:val="006A6D9D"/>
    <w:rsid w:val="006A6EA2"/>
    <w:rsid w:val="006B6F2C"/>
    <w:rsid w:val="006B7092"/>
    <w:rsid w:val="006C51E6"/>
    <w:rsid w:val="006C7122"/>
    <w:rsid w:val="006C7235"/>
    <w:rsid w:val="006C7ECF"/>
    <w:rsid w:val="006D3CD6"/>
    <w:rsid w:val="006D52DE"/>
    <w:rsid w:val="006E01D9"/>
    <w:rsid w:val="006E12F5"/>
    <w:rsid w:val="006E454E"/>
    <w:rsid w:val="006E7E8A"/>
    <w:rsid w:val="007019BA"/>
    <w:rsid w:val="00707E03"/>
    <w:rsid w:val="00710812"/>
    <w:rsid w:val="007121BE"/>
    <w:rsid w:val="00714A6A"/>
    <w:rsid w:val="00720FFC"/>
    <w:rsid w:val="00721DBE"/>
    <w:rsid w:val="0072348D"/>
    <w:rsid w:val="0073602B"/>
    <w:rsid w:val="007365D2"/>
    <w:rsid w:val="00736B55"/>
    <w:rsid w:val="007411E9"/>
    <w:rsid w:val="007412C9"/>
    <w:rsid w:val="00747A34"/>
    <w:rsid w:val="00766BBF"/>
    <w:rsid w:val="00767ADB"/>
    <w:rsid w:val="00777953"/>
    <w:rsid w:val="00777A6F"/>
    <w:rsid w:val="007874F0"/>
    <w:rsid w:val="00794ACC"/>
    <w:rsid w:val="00795F8B"/>
    <w:rsid w:val="0079761D"/>
    <w:rsid w:val="007A3E30"/>
    <w:rsid w:val="007B06AD"/>
    <w:rsid w:val="007C15FA"/>
    <w:rsid w:val="007C66D4"/>
    <w:rsid w:val="007D1D5B"/>
    <w:rsid w:val="007D30EF"/>
    <w:rsid w:val="007D6C2D"/>
    <w:rsid w:val="007E30A4"/>
    <w:rsid w:val="007E5818"/>
    <w:rsid w:val="007E5DFA"/>
    <w:rsid w:val="007F1631"/>
    <w:rsid w:val="007F3A5B"/>
    <w:rsid w:val="007F427F"/>
    <w:rsid w:val="00801CDE"/>
    <w:rsid w:val="00803BBF"/>
    <w:rsid w:val="00807B13"/>
    <w:rsid w:val="00820A54"/>
    <w:rsid w:val="008243CB"/>
    <w:rsid w:val="00824EF2"/>
    <w:rsid w:val="008322C0"/>
    <w:rsid w:val="00836B66"/>
    <w:rsid w:val="008429CE"/>
    <w:rsid w:val="00846D99"/>
    <w:rsid w:val="00851D5E"/>
    <w:rsid w:val="00856A69"/>
    <w:rsid w:val="00856F32"/>
    <w:rsid w:val="008606FE"/>
    <w:rsid w:val="00866463"/>
    <w:rsid w:val="0086752E"/>
    <w:rsid w:val="008702D6"/>
    <w:rsid w:val="00870AC5"/>
    <w:rsid w:val="008760DB"/>
    <w:rsid w:val="00880D13"/>
    <w:rsid w:val="00882E29"/>
    <w:rsid w:val="00887104"/>
    <w:rsid w:val="00887C29"/>
    <w:rsid w:val="008912F5"/>
    <w:rsid w:val="00894B24"/>
    <w:rsid w:val="00894FA0"/>
    <w:rsid w:val="00896C0D"/>
    <w:rsid w:val="008A1F39"/>
    <w:rsid w:val="008A74A0"/>
    <w:rsid w:val="008A7666"/>
    <w:rsid w:val="008B0979"/>
    <w:rsid w:val="008B1087"/>
    <w:rsid w:val="008B62C3"/>
    <w:rsid w:val="008C03CA"/>
    <w:rsid w:val="008C1EAA"/>
    <w:rsid w:val="008D5146"/>
    <w:rsid w:val="008D5E11"/>
    <w:rsid w:val="008D73E7"/>
    <w:rsid w:val="008F3D48"/>
    <w:rsid w:val="008F6885"/>
    <w:rsid w:val="009007A9"/>
    <w:rsid w:val="00907295"/>
    <w:rsid w:val="00921286"/>
    <w:rsid w:val="0092319A"/>
    <w:rsid w:val="009309AE"/>
    <w:rsid w:val="00933899"/>
    <w:rsid w:val="00935455"/>
    <w:rsid w:val="00935FDD"/>
    <w:rsid w:val="009366ED"/>
    <w:rsid w:val="00936EAE"/>
    <w:rsid w:val="0094229D"/>
    <w:rsid w:val="009443CF"/>
    <w:rsid w:val="00947982"/>
    <w:rsid w:val="00972B4F"/>
    <w:rsid w:val="00972F01"/>
    <w:rsid w:val="009730C2"/>
    <w:rsid w:val="00974362"/>
    <w:rsid w:val="009770CE"/>
    <w:rsid w:val="00982746"/>
    <w:rsid w:val="009856C9"/>
    <w:rsid w:val="00986A71"/>
    <w:rsid w:val="009948C8"/>
    <w:rsid w:val="009B321B"/>
    <w:rsid w:val="009B5110"/>
    <w:rsid w:val="009B52DB"/>
    <w:rsid w:val="009C6E67"/>
    <w:rsid w:val="009C6FB1"/>
    <w:rsid w:val="009C7DE3"/>
    <w:rsid w:val="009D5DB7"/>
    <w:rsid w:val="009D7A81"/>
    <w:rsid w:val="009E4549"/>
    <w:rsid w:val="009E556B"/>
    <w:rsid w:val="009F0659"/>
    <w:rsid w:val="009F2005"/>
    <w:rsid w:val="009F4281"/>
    <w:rsid w:val="00A03A9A"/>
    <w:rsid w:val="00A04B4C"/>
    <w:rsid w:val="00A11884"/>
    <w:rsid w:val="00A12E01"/>
    <w:rsid w:val="00A13248"/>
    <w:rsid w:val="00A162B4"/>
    <w:rsid w:val="00A276EC"/>
    <w:rsid w:val="00A41260"/>
    <w:rsid w:val="00A47DD5"/>
    <w:rsid w:val="00A50850"/>
    <w:rsid w:val="00A53BE3"/>
    <w:rsid w:val="00A54FBA"/>
    <w:rsid w:val="00A651D5"/>
    <w:rsid w:val="00A71F52"/>
    <w:rsid w:val="00A72639"/>
    <w:rsid w:val="00A76B88"/>
    <w:rsid w:val="00A7717F"/>
    <w:rsid w:val="00A772D9"/>
    <w:rsid w:val="00A813F3"/>
    <w:rsid w:val="00A94717"/>
    <w:rsid w:val="00A94CF6"/>
    <w:rsid w:val="00A96D72"/>
    <w:rsid w:val="00A97927"/>
    <w:rsid w:val="00AA4B6B"/>
    <w:rsid w:val="00AA7585"/>
    <w:rsid w:val="00AB5661"/>
    <w:rsid w:val="00AC20E3"/>
    <w:rsid w:val="00AC45C0"/>
    <w:rsid w:val="00AD1727"/>
    <w:rsid w:val="00AD4B57"/>
    <w:rsid w:val="00AD74BF"/>
    <w:rsid w:val="00AD7B13"/>
    <w:rsid w:val="00AF0BD4"/>
    <w:rsid w:val="00AF41DB"/>
    <w:rsid w:val="00B00D01"/>
    <w:rsid w:val="00B01748"/>
    <w:rsid w:val="00B05ABE"/>
    <w:rsid w:val="00B07044"/>
    <w:rsid w:val="00B0755F"/>
    <w:rsid w:val="00B07D03"/>
    <w:rsid w:val="00B10647"/>
    <w:rsid w:val="00B10E07"/>
    <w:rsid w:val="00B1394D"/>
    <w:rsid w:val="00B16D08"/>
    <w:rsid w:val="00B20031"/>
    <w:rsid w:val="00B26281"/>
    <w:rsid w:val="00B27D79"/>
    <w:rsid w:val="00B27E5F"/>
    <w:rsid w:val="00B3346C"/>
    <w:rsid w:val="00B42B5D"/>
    <w:rsid w:val="00B42DBA"/>
    <w:rsid w:val="00B45CBB"/>
    <w:rsid w:val="00B539A5"/>
    <w:rsid w:val="00B5466E"/>
    <w:rsid w:val="00B56D77"/>
    <w:rsid w:val="00B6552C"/>
    <w:rsid w:val="00B6564B"/>
    <w:rsid w:val="00B80558"/>
    <w:rsid w:val="00B83585"/>
    <w:rsid w:val="00B90B19"/>
    <w:rsid w:val="00B9241F"/>
    <w:rsid w:val="00B96452"/>
    <w:rsid w:val="00B974D1"/>
    <w:rsid w:val="00B97BA1"/>
    <w:rsid w:val="00BA415E"/>
    <w:rsid w:val="00BA67F4"/>
    <w:rsid w:val="00BA7A16"/>
    <w:rsid w:val="00BC7CA9"/>
    <w:rsid w:val="00BD2DEB"/>
    <w:rsid w:val="00BD354F"/>
    <w:rsid w:val="00BD7065"/>
    <w:rsid w:val="00BE09EC"/>
    <w:rsid w:val="00BE1F9F"/>
    <w:rsid w:val="00BE647B"/>
    <w:rsid w:val="00BF331B"/>
    <w:rsid w:val="00BF361E"/>
    <w:rsid w:val="00BF36E6"/>
    <w:rsid w:val="00BF66BC"/>
    <w:rsid w:val="00C00164"/>
    <w:rsid w:val="00C144DC"/>
    <w:rsid w:val="00C14B6C"/>
    <w:rsid w:val="00C1541F"/>
    <w:rsid w:val="00C20C46"/>
    <w:rsid w:val="00C20CFF"/>
    <w:rsid w:val="00C21189"/>
    <w:rsid w:val="00C24A40"/>
    <w:rsid w:val="00C252CA"/>
    <w:rsid w:val="00C25582"/>
    <w:rsid w:val="00C34DDE"/>
    <w:rsid w:val="00C35C12"/>
    <w:rsid w:val="00C36236"/>
    <w:rsid w:val="00C37EB1"/>
    <w:rsid w:val="00C41EFE"/>
    <w:rsid w:val="00C429ED"/>
    <w:rsid w:val="00C45245"/>
    <w:rsid w:val="00C50129"/>
    <w:rsid w:val="00C54F4C"/>
    <w:rsid w:val="00C60FBD"/>
    <w:rsid w:val="00C63F9A"/>
    <w:rsid w:val="00C65733"/>
    <w:rsid w:val="00C721FB"/>
    <w:rsid w:val="00C76F92"/>
    <w:rsid w:val="00C817C6"/>
    <w:rsid w:val="00C86910"/>
    <w:rsid w:val="00C87665"/>
    <w:rsid w:val="00C931AB"/>
    <w:rsid w:val="00C948D5"/>
    <w:rsid w:val="00C96D23"/>
    <w:rsid w:val="00CA086D"/>
    <w:rsid w:val="00CB0711"/>
    <w:rsid w:val="00CB3801"/>
    <w:rsid w:val="00CB4209"/>
    <w:rsid w:val="00CC066C"/>
    <w:rsid w:val="00CC3B2A"/>
    <w:rsid w:val="00CD4A32"/>
    <w:rsid w:val="00CD6CBD"/>
    <w:rsid w:val="00CD75B9"/>
    <w:rsid w:val="00CE1594"/>
    <w:rsid w:val="00CE5221"/>
    <w:rsid w:val="00CF342C"/>
    <w:rsid w:val="00CF3D6E"/>
    <w:rsid w:val="00D00748"/>
    <w:rsid w:val="00D01957"/>
    <w:rsid w:val="00D03673"/>
    <w:rsid w:val="00D0456B"/>
    <w:rsid w:val="00D04F4C"/>
    <w:rsid w:val="00D07CEE"/>
    <w:rsid w:val="00D07E1E"/>
    <w:rsid w:val="00D1077B"/>
    <w:rsid w:val="00D1145E"/>
    <w:rsid w:val="00D159B8"/>
    <w:rsid w:val="00D1632A"/>
    <w:rsid w:val="00D20132"/>
    <w:rsid w:val="00D204AF"/>
    <w:rsid w:val="00D22068"/>
    <w:rsid w:val="00D24279"/>
    <w:rsid w:val="00D2427D"/>
    <w:rsid w:val="00D266CA"/>
    <w:rsid w:val="00D30CF0"/>
    <w:rsid w:val="00D4053F"/>
    <w:rsid w:val="00D413D1"/>
    <w:rsid w:val="00D46A79"/>
    <w:rsid w:val="00D507EC"/>
    <w:rsid w:val="00D53BB4"/>
    <w:rsid w:val="00D64ADE"/>
    <w:rsid w:val="00D650A5"/>
    <w:rsid w:val="00D65B14"/>
    <w:rsid w:val="00D66A01"/>
    <w:rsid w:val="00D66EFE"/>
    <w:rsid w:val="00D75FE2"/>
    <w:rsid w:val="00D84978"/>
    <w:rsid w:val="00D91629"/>
    <w:rsid w:val="00D93D88"/>
    <w:rsid w:val="00D942C5"/>
    <w:rsid w:val="00D945EF"/>
    <w:rsid w:val="00D948C2"/>
    <w:rsid w:val="00D9583D"/>
    <w:rsid w:val="00D95B5E"/>
    <w:rsid w:val="00D96F52"/>
    <w:rsid w:val="00DA50A6"/>
    <w:rsid w:val="00DA5340"/>
    <w:rsid w:val="00DA726C"/>
    <w:rsid w:val="00DB2BB6"/>
    <w:rsid w:val="00DB3AC1"/>
    <w:rsid w:val="00DB52E2"/>
    <w:rsid w:val="00DB6E92"/>
    <w:rsid w:val="00DC0307"/>
    <w:rsid w:val="00DC15F7"/>
    <w:rsid w:val="00DC3BD9"/>
    <w:rsid w:val="00DC4595"/>
    <w:rsid w:val="00DD19D4"/>
    <w:rsid w:val="00DF5696"/>
    <w:rsid w:val="00DF7FB7"/>
    <w:rsid w:val="00E07622"/>
    <w:rsid w:val="00E10FA2"/>
    <w:rsid w:val="00E11FE3"/>
    <w:rsid w:val="00E1449A"/>
    <w:rsid w:val="00E15506"/>
    <w:rsid w:val="00E1742C"/>
    <w:rsid w:val="00E217A3"/>
    <w:rsid w:val="00E21EE0"/>
    <w:rsid w:val="00E26199"/>
    <w:rsid w:val="00E3189C"/>
    <w:rsid w:val="00E322A1"/>
    <w:rsid w:val="00E33A5D"/>
    <w:rsid w:val="00E364B7"/>
    <w:rsid w:val="00E36A2B"/>
    <w:rsid w:val="00E36D95"/>
    <w:rsid w:val="00E417B6"/>
    <w:rsid w:val="00E4246C"/>
    <w:rsid w:val="00E451EA"/>
    <w:rsid w:val="00E50E86"/>
    <w:rsid w:val="00E52DC6"/>
    <w:rsid w:val="00E53B48"/>
    <w:rsid w:val="00E55254"/>
    <w:rsid w:val="00E60658"/>
    <w:rsid w:val="00E64FC9"/>
    <w:rsid w:val="00E651D8"/>
    <w:rsid w:val="00E6639E"/>
    <w:rsid w:val="00E6777D"/>
    <w:rsid w:val="00E701D7"/>
    <w:rsid w:val="00E7089A"/>
    <w:rsid w:val="00E71665"/>
    <w:rsid w:val="00E72688"/>
    <w:rsid w:val="00E76A19"/>
    <w:rsid w:val="00E855D6"/>
    <w:rsid w:val="00E85FDD"/>
    <w:rsid w:val="00E958DB"/>
    <w:rsid w:val="00E9667B"/>
    <w:rsid w:val="00EA4F72"/>
    <w:rsid w:val="00EA6D7C"/>
    <w:rsid w:val="00EB09E9"/>
    <w:rsid w:val="00EB1139"/>
    <w:rsid w:val="00EC1B36"/>
    <w:rsid w:val="00EC52D0"/>
    <w:rsid w:val="00EC660C"/>
    <w:rsid w:val="00ED0CD5"/>
    <w:rsid w:val="00ED1E1F"/>
    <w:rsid w:val="00ED2A9F"/>
    <w:rsid w:val="00ED3377"/>
    <w:rsid w:val="00ED5506"/>
    <w:rsid w:val="00EE07A7"/>
    <w:rsid w:val="00EE0B94"/>
    <w:rsid w:val="00EE1336"/>
    <w:rsid w:val="00EF00FE"/>
    <w:rsid w:val="00EF6946"/>
    <w:rsid w:val="00F025A0"/>
    <w:rsid w:val="00F0374F"/>
    <w:rsid w:val="00F102FB"/>
    <w:rsid w:val="00F14E98"/>
    <w:rsid w:val="00F176D5"/>
    <w:rsid w:val="00F22753"/>
    <w:rsid w:val="00F22F38"/>
    <w:rsid w:val="00F22F76"/>
    <w:rsid w:val="00F24F80"/>
    <w:rsid w:val="00F2574D"/>
    <w:rsid w:val="00F36828"/>
    <w:rsid w:val="00F37100"/>
    <w:rsid w:val="00F40C7A"/>
    <w:rsid w:val="00F42245"/>
    <w:rsid w:val="00F4604D"/>
    <w:rsid w:val="00F46D57"/>
    <w:rsid w:val="00F50512"/>
    <w:rsid w:val="00F50980"/>
    <w:rsid w:val="00F51A86"/>
    <w:rsid w:val="00F55D4E"/>
    <w:rsid w:val="00F57C7D"/>
    <w:rsid w:val="00F62147"/>
    <w:rsid w:val="00F63F6E"/>
    <w:rsid w:val="00F64D52"/>
    <w:rsid w:val="00F658F5"/>
    <w:rsid w:val="00F661A5"/>
    <w:rsid w:val="00F661BF"/>
    <w:rsid w:val="00F66703"/>
    <w:rsid w:val="00F7450E"/>
    <w:rsid w:val="00F7502C"/>
    <w:rsid w:val="00F82BE6"/>
    <w:rsid w:val="00F82C33"/>
    <w:rsid w:val="00F83AEF"/>
    <w:rsid w:val="00F85303"/>
    <w:rsid w:val="00F91B23"/>
    <w:rsid w:val="00F94EA6"/>
    <w:rsid w:val="00F95291"/>
    <w:rsid w:val="00F95B0A"/>
    <w:rsid w:val="00F96430"/>
    <w:rsid w:val="00F96B65"/>
    <w:rsid w:val="00F9739F"/>
    <w:rsid w:val="00FA5D05"/>
    <w:rsid w:val="00FB21BD"/>
    <w:rsid w:val="00FB35C1"/>
    <w:rsid w:val="00FC1109"/>
    <w:rsid w:val="00FC74CB"/>
    <w:rsid w:val="00FD286E"/>
    <w:rsid w:val="00FD5D4A"/>
    <w:rsid w:val="00FD5F79"/>
    <w:rsid w:val="00FE7291"/>
    <w:rsid w:val="00FF1BDD"/>
    <w:rsid w:val="00FF2633"/>
    <w:rsid w:val="00FF28EF"/>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E65A13"/>
  <w15:chartTrackingRefBased/>
  <w15:docId w15:val="{C90EEEAA-9679-4D67-8FC6-CA6B9BD42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uiPriority="0" w:qFormat="1"/>
    <w:lsdException w:name="index heading" w:semiHidden="1"/>
    <w:lsdException w:name="caption"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qFormat="1"/>
    <w:lsdException w:name="Emphasis"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before="200" w:line="240" w:lineRule="atLeast"/>
    </w:pPr>
    <w:rPr>
      <w:rFonts w:ascii="Arial" w:hAnsi="Arial" w:cs="Arial"/>
    </w:rPr>
  </w:style>
  <w:style w:type="paragraph" w:styleId="Heading1">
    <w:name w:val="heading 1"/>
    <w:aliases w:val="h1"/>
    <w:basedOn w:val="Normal"/>
    <w:next w:val="Normal"/>
    <w:link w:val="Heading1Char"/>
    <w:uiPriority w:val="99"/>
    <w:qFormat/>
    <w:pPr>
      <w:keepNext/>
      <w:numPr>
        <w:numId w:val="13"/>
      </w:numPr>
      <w:outlineLvl w:val="0"/>
    </w:pPr>
  </w:style>
  <w:style w:type="paragraph" w:styleId="Heading2">
    <w:name w:val="heading 2"/>
    <w:aliases w:val="h2"/>
    <w:basedOn w:val="Normal"/>
    <w:next w:val="Level1fo"/>
    <w:link w:val="Heading2Char"/>
    <w:uiPriority w:val="99"/>
    <w:qFormat/>
    <w:pPr>
      <w:numPr>
        <w:ilvl w:val="1"/>
        <w:numId w:val="13"/>
      </w:numPr>
      <w:outlineLvl w:val="1"/>
    </w:pPr>
  </w:style>
  <w:style w:type="paragraph" w:styleId="Heading3">
    <w:name w:val="heading 3"/>
    <w:aliases w:val="h3"/>
    <w:basedOn w:val="Normal"/>
    <w:next w:val="Level11fo"/>
    <w:link w:val="Heading3Char"/>
    <w:uiPriority w:val="99"/>
    <w:qFormat/>
    <w:pPr>
      <w:numPr>
        <w:ilvl w:val="2"/>
        <w:numId w:val="13"/>
      </w:numPr>
      <w:outlineLvl w:val="2"/>
    </w:pPr>
  </w:style>
  <w:style w:type="paragraph" w:styleId="Heading4">
    <w:name w:val="heading 4"/>
    <w:aliases w:val="h4"/>
    <w:basedOn w:val="Normal"/>
    <w:next w:val="Levelafo"/>
    <w:link w:val="Heading4Char"/>
    <w:uiPriority w:val="99"/>
    <w:qFormat/>
    <w:pPr>
      <w:numPr>
        <w:ilvl w:val="3"/>
        <w:numId w:val="13"/>
      </w:numPr>
      <w:outlineLvl w:val="3"/>
    </w:pPr>
  </w:style>
  <w:style w:type="paragraph" w:styleId="Heading5">
    <w:name w:val="heading 5"/>
    <w:aliases w:val="h5"/>
    <w:basedOn w:val="Normal"/>
    <w:next w:val="Levelifo"/>
    <w:link w:val="Heading5Char"/>
    <w:uiPriority w:val="99"/>
    <w:qFormat/>
    <w:pPr>
      <w:numPr>
        <w:ilvl w:val="4"/>
        <w:numId w:val="13"/>
      </w:numPr>
      <w:outlineLvl w:val="4"/>
    </w:pPr>
  </w:style>
  <w:style w:type="paragraph" w:styleId="Heading6">
    <w:name w:val="heading 6"/>
    <w:aliases w:val="h6"/>
    <w:basedOn w:val="Normal"/>
    <w:next w:val="LevelAfo0"/>
    <w:link w:val="Heading6Char"/>
    <w:uiPriority w:val="99"/>
    <w:qFormat/>
    <w:pPr>
      <w:numPr>
        <w:ilvl w:val="5"/>
        <w:numId w:val="13"/>
      </w:numPr>
      <w:outlineLvl w:val="5"/>
    </w:pPr>
  </w:style>
  <w:style w:type="paragraph" w:styleId="Heading7">
    <w:name w:val="heading 7"/>
    <w:aliases w:val="h7"/>
    <w:basedOn w:val="Normal"/>
    <w:next w:val="LevelIfo0"/>
    <w:link w:val="Heading7Char"/>
    <w:uiPriority w:val="99"/>
    <w:qFormat/>
    <w:pPr>
      <w:numPr>
        <w:ilvl w:val="6"/>
        <w:numId w:val="13"/>
      </w:numPr>
      <w:outlineLvl w:val="6"/>
    </w:pPr>
  </w:style>
  <w:style w:type="paragraph" w:styleId="Heading8">
    <w:name w:val="heading 8"/>
    <w:aliases w:val="h8"/>
    <w:basedOn w:val="Normal"/>
    <w:next w:val="Normal"/>
    <w:link w:val="Heading8Char"/>
    <w:uiPriority w:val="99"/>
    <w:qFormat/>
    <w:pPr>
      <w:numPr>
        <w:ilvl w:val="7"/>
        <w:numId w:val="13"/>
      </w:numPr>
      <w:outlineLvl w:val="7"/>
    </w:pPr>
  </w:style>
  <w:style w:type="paragraph" w:styleId="Heading9">
    <w:name w:val="heading 9"/>
    <w:aliases w:val="h9"/>
    <w:basedOn w:val="Normal"/>
    <w:next w:val="Normal"/>
    <w:link w:val="Heading9Char"/>
    <w:uiPriority w:val="99"/>
    <w:qFormat/>
    <w:pPr>
      <w:numPr>
        <w:ilvl w:val="8"/>
        <w:numId w:val="13"/>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uiPriority w:val="99"/>
    <w:rPr>
      <w:rFonts w:ascii="Arial" w:hAnsi="Arial" w:cs="Arial"/>
    </w:rPr>
  </w:style>
  <w:style w:type="character" w:customStyle="1" w:styleId="Heading2Char">
    <w:name w:val="Heading 2 Char"/>
    <w:aliases w:val="h2 Char"/>
    <w:link w:val="Heading2"/>
    <w:uiPriority w:val="99"/>
    <w:rPr>
      <w:rFonts w:ascii="Arial" w:hAnsi="Arial" w:cs="Arial"/>
    </w:rPr>
  </w:style>
  <w:style w:type="character" w:customStyle="1" w:styleId="Heading3Char">
    <w:name w:val="Heading 3 Char"/>
    <w:aliases w:val="h3 Char"/>
    <w:link w:val="Heading3"/>
    <w:uiPriority w:val="99"/>
    <w:rPr>
      <w:rFonts w:ascii="Arial" w:hAnsi="Arial" w:cs="Arial"/>
    </w:rPr>
  </w:style>
  <w:style w:type="character" w:customStyle="1" w:styleId="Heading4Char">
    <w:name w:val="Heading 4 Char"/>
    <w:aliases w:val="h4 Char"/>
    <w:link w:val="Heading4"/>
    <w:uiPriority w:val="99"/>
    <w:rPr>
      <w:rFonts w:ascii="Arial" w:hAnsi="Arial" w:cs="Arial"/>
    </w:rPr>
  </w:style>
  <w:style w:type="character" w:customStyle="1" w:styleId="Heading5Char">
    <w:name w:val="Heading 5 Char"/>
    <w:aliases w:val="h5 Char"/>
    <w:link w:val="Heading5"/>
    <w:uiPriority w:val="99"/>
    <w:rPr>
      <w:rFonts w:ascii="Arial" w:hAnsi="Arial" w:cs="Arial"/>
    </w:rPr>
  </w:style>
  <w:style w:type="character" w:customStyle="1" w:styleId="Heading6Char">
    <w:name w:val="Heading 6 Char"/>
    <w:aliases w:val="h6 Char"/>
    <w:link w:val="Heading6"/>
    <w:uiPriority w:val="99"/>
    <w:rPr>
      <w:rFonts w:ascii="Arial" w:hAnsi="Arial" w:cs="Arial"/>
    </w:rPr>
  </w:style>
  <w:style w:type="character" w:customStyle="1" w:styleId="Heading7Char">
    <w:name w:val="Heading 7 Char"/>
    <w:aliases w:val="h7 Char"/>
    <w:link w:val="Heading7"/>
    <w:uiPriority w:val="99"/>
    <w:rPr>
      <w:rFonts w:ascii="Arial" w:hAnsi="Arial" w:cs="Arial"/>
    </w:rPr>
  </w:style>
  <w:style w:type="character" w:customStyle="1" w:styleId="Heading8Char">
    <w:name w:val="Heading 8 Char"/>
    <w:aliases w:val="h8 Char"/>
    <w:link w:val="Heading8"/>
    <w:uiPriority w:val="99"/>
    <w:rPr>
      <w:rFonts w:ascii="Arial" w:hAnsi="Arial" w:cs="Arial"/>
    </w:rPr>
  </w:style>
  <w:style w:type="character" w:customStyle="1" w:styleId="Heading9Char">
    <w:name w:val="Heading 9 Char"/>
    <w:aliases w:val="h9 Char"/>
    <w:link w:val="Heading9"/>
    <w:uiPriority w:val="99"/>
    <w:rPr>
      <w:rFonts w:ascii="Arial" w:hAnsi="Arial" w:cs="Arial"/>
    </w:rPr>
  </w:style>
  <w:style w:type="paragraph" w:styleId="BalloonText">
    <w:name w:val="Balloon Text"/>
    <w:basedOn w:val="Normal"/>
    <w:link w:val="BalloonTextChar"/>
    <w:hidden/>
    <w:uiPriority w:val="99"/>
    <w:pPr>
      <w:spacing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Caption">
    <w:name w:val="caption"/>
    <w:basedOn w:val="Normal"/>
    <w:next w:val="Normal"/>
    <w:uiPriority w:val="99"/>
    <w:qFormat/>
    <w:pPr>
      <w:spacing w:before="100" w:after="100"/>
    </w:pPr>
    <w:rPr>
      <w:b/>
      <w:bCs/>
      <w:sz w:val="16"/>
      <w:szCs w:val="16"/>
    </w:rPr>
  </w:style>
  <w:style w:type="character" w:styleId="CommentReference">
    <w:name w:val="annotation reference"/>
    <w:uiPriority w:val="99"/>
    <w:rPr>
      <w:sz w:val="16"/>
      <w:szCs w:val="16"/>
    </w:rPr>
  </w:style>
  <w:style w:type="paragraph" w:styleId="CommentText">
    <w:name w:val="annotation text"/>
    <w:basedOn w:val="Normal"/>
    <w:next w:val="FootnoteText"/>
    <w:link w:val="CommentTextChar"/>
    <w:uiPriority w:val="99"/>
    <w:pPr>
      <w:widowControl/>
      <w:spacing w:before="0" w:line="240" w:lineRule="auto"/>
    </w:pPr>
    <w:rPr>
      <w:rFonts w:ascii="Times New Roman" w:hAnsi="Times New Roman" w:cs="Times New Roman"/>
      <w:lang w:val="en-US"/>
    </w:rPr>
  </w:style>
  <w:style w:type="character" w:customStyle="1" w:styleId="CommentTextChar">
    <w:name w:val="Comment Text Char"/>
    <w:link w:val="CommentText"/>
    <w:uiPriority w:val="99"/>
    <w:semiHidden/>
    <w:rPr>
      <w:rFonts w:ascii="Arial" w:hAnsi="Arial" w:cs="Arial"/>
      <w:sz w:val="20"/>
      <w:szCs w:val="20"/>
    </w:rPr>
  </w:style>
  <w:style w:type="paragraph" w:styleId="CommentSubject">
    <w:name w:val="annotation subject"/>
    <w:basedOn w:val="CommentText"/>
    <w:next w:val="CommentText"/>
    <w:link w:val="CommentSubjectChar"/>
    <w:hidden/>
    <w:uiPriority w:val="99"/>
    <w:pPr>
      <w:widowControl w:val="0"/>
      <w:spacing w:before="200"/>
    </w:pPr>
    <w:rPr>
      <w:rFonts w:ascii="Arial" w:hAnsi="Arial" w:cs="Arial"/>
      <w:b/>
      <w:bCs/>
      <w:sz w:val="16"/>
      <w:szCs w:val="16"/>
      <w:lang w:val="en-AU"/>
    </w:rPr>
  </w:style>
  <w:style w:type="character" w:customStyle="1" w:styleId="CommentSubjectChar">
    <w:name w:val="Comment Subject Char"/>
    <w:link w:val="CommentSubject"/>
    <w:uiPriority w:val="99"/>
    <w:semiHidden/>
    <w:rPr>
      <w:rFonts w:ascii="Arial" w:hAnsi="Arial" w:cs="Arial"/>
      <w:b/>
      <w:bCs/>
      <w:sz w:val="20"/>
      <w:szCs w:val="20"/>
    </w:rPr>
  </w:style>
  <w:style w:type="paragraph" w:styleId="DocumentMap">
    <w:name w:val="Document Map"/>
    <w:basedOn w:val="Normal"/>
    <w:link w:val="DocumentMapChar"/>
    <w:hidden/>
    <w:uiPriority w:val="99"/>
    <w:pPr>
      <w:shd w:val="clear" w:color="auto" w:fill="000080"/>
    </w:pPr>
    <w:rPr>
      <w:rFonts w:ascii="Tahoma" w:hAnsi="Tahoma" w:cs="Tahoma"/>
    </w:rPr>
  </w:style>
  <w:style w:type="character" w:customStyle="1" w:styleId="DocumentMapChar">
    <w:name w:val="Document Map Char"/>
    <w:link w:val="DocumentMap"/>
    <w:uiPriority w:val="99"/>
    <w:semiHidden/>
    <w:rPr>
      <w:rFonts w:ascii="Tahoma" w:hAnsi="Tahoma" w:cs="Tahoma"/>
      <w:sz w:val="16"/>
      <w:szCs w:val="16"/>
    </w:rPr>
  </w:style>
  <w:style w:type="character" w:styleId="EndnoteReference">
    <w:name w:val="endnote reference"/>
    <w:hidden/>
    <w:uiPriority w:val="99"/>
    <w:rPr>
      <w:rFonts w:ascii="Arial" w:hAnsi="Arial" w:cs="Arial"/>
      <w:sz w:val="16"/>
      <w:szCs w:val="16"/>
      <w:vertAlign w:val="superscript"/>
      <w:lang w:val="en-AU"/>
    </w:rPr>
  </w:style>
  <w:style w:type="paragraph" w:styleId="EndnoteText">
    <w:name w:val="endnote text"/>
    <w:basedOn w:val="Normal"/>
    <w:link w:val="EndnoteTextChar"/>
    <w:hidden/>
    <w:uiPriority w:val="99"/>
    <w:pPr>
      <w:spacing w:line="240" w:lineRule="auto"/>
      <w:ind w:left="720" w:hanging="720"/>
    </w:pPr>
    <w:rPr>
      <w:sz w:val="16"/>
      <w:szCs w:val="16"/>
    </w:rPr>
  </w:style>
  <w:style w:type="character" w:customStyle="1" w:styleId="EndnoteTextChar">
    <w:name w:val="Endnote Text Char"/>
    <w:link w:val="EndnoteText"/>
    <w:uiPriority w:val="99"/>
    <w:rPr>
      <w:rFonts w:ascii="Arial" w:hAnsi="Arial" w:cs="Arial"/>
      <w:sz w:val="20"/>
      <w:szCs w:val="20"/>
    </w:rPr>
  </w:style>
  <w:style w:type="character" w:styleId="FootnoteReference">
    <w:name w:val="footnote reference"/>
    <w:hidden/>
    <w:uiPriority w:val="99"/>
    <w:rPr>
      <w:rFonts w:ascii="Arial" w:hAnsi="Arial" w:cs="Arial"/>
      <w:sz w:val="16"/>
      <w:szCs w:val="16"/>
      <w:vertAlign w:val="superscript"/>
      <w:lang w:val="en-AU"/>
    </w:rPr>
  </w:style>
  <w:style w:type="paragraph" w:styleId="FootnoteText">
    <w:name w:val="footnote text"/>
    <w:aliases w:val="Car"/>
    <w:basedOn w:val="Normal"/>
    <w:link w:val="FootnoteTextChar"/>
    <w:hidden/>
    <w:uiPriority w:val="99"/>
    <w:pPr>
      <w:spacing w:line="240" w:lineRule="auto"/>
      <w:ind w:left="720" w:hanging="720"/>
    </w:pPr>
    <w:rPr>
      <w:sz w:val="16"/>
      <w:szCs w:val="16"/>
    </w:rPr>
  </w:style>
  <w:style w:type="character" w:customStyle="1" w:styleId="FootnoteTextChar">
    <w:name w:val="Footnote Text Char"/>
    <w:aliases w:val="Car Char"/>
    <w:link w:val="FootnoteText"/>
    <w:uiPriority w:val="99"/>
    <w:semiHidden/>
    <w:rPr>
      <w:rFonts w:ascii="Arial" w:hAnsi="Arial" w:cs="Arial"/>
      <w:sz w:val="20"/>
      <w:szCs w:val="20"/>
    </w:rPr>
  </w:style>
  <w:style w:type="paragraph" w:styleId="Index1">
    <w:name w:val="index 1"/>
    <w:basedOn w:val="Normal"/>
    <w:next w:val="Normal"/>
    <w:hidden/>
    <w:uiPriority w:val="99"/>
    <w:pPr>
      <w:ind w:left="200" w:hanging="200"/>
    </w:pPr>
  </w:style>
  <w:style w:type="paragraph" w:styleId="Index2">
    <w:name w:val="index 2"/>
    <w:basedOn w:val="Normal"/>
    <w:next w:val="Normal"/>
    <w:hidden/>
    <w:uiPriority w:val="99"/>
    <w:pPr>
      <w:ind w:left="400" w:hanging="200"/>
    </w:pPr>
  </w:style>
  <w:style w:type="paragraph" w:styleId="Index3">
    <w:name w:val="index 3"/>
    <w:basedOn w:val="Normal"/>
    <w:next w:val="Normal"/>
    <w:hidden/>
    <w:uiPriority w:val="99"/>
    <w:pPr>
      <w:ind w:left="600" w:hanging="200"/>
    </w:pPr>
  </w:style>
  <w:style w:type="paragraph" w:styleId="Index4">
    <w:name w:val="index 4"/>
    <w:basedOn w:val="Normal"/>
    <w:next w:val="Normal"/>
    <w:hidden/>
    <w:uiPriority w:val="99"/>
    <w:pPr>
      <w:ind w:left="800" w:hanging="200"/>
    </w:pPr>
  </w:style>
  <w:style w:type="paragraph" w:styleId="Index5">
    <w:name w:val="index 5"/>
    <w:basedOn w:val="Normal"/>
    <w:next w:val="Normal"/>
    <w:hidden/>
    <w:uiPriority w:val="99"/>
    <w:pPr>
      <w:ind w:left="1000" w:hanging="200"/>
    </w:pPr>
  </w:style>
  <w:style w:type="paragraph" w:styleId="Index6">
    <w:name w:val="index 6"/>
    <w:basedOn w:val="Normal"/>
    <w:next w:val="Normal"/>
    <w:hidden/>
    <w:uiPriority w:val="99"/>
    <w:pPr>
      <w:ind w:left="1200" w:hanging="200"/>
    </w:pPr>
  </w:style>
  <w:style w:type="paragraph" w:styleId="Index7">
    <w:name w:val="index 7"/>
    <w:basedOn w:val="Normal"/>
    <w:next w:val="Normal"/>
    <w:hidden/>
    <w:uiPriority w:val="99"/>
    <w:pPr>
      <w:ind w:left="1400" w:hanging="200"/>
    </w:pPr>
  </w:style>
  <w:style w:type="paragraph" w:styleId="Index8">
    <w:name w:val="index 8"/>
    <w:basedOn w:val="Normal"/>
    <w:next w:val="Normal"/>
    <w:hidden/>
    <w:uiPriority w:val="99"/>
    <w:pPr>
      <w:ind w:left="1600" w:hanging="200"/>
    </w:pPr>
  </w:style>
  <w:style w:type="paragraph" w:styleId="Index9">
    <w:name w:val="index 9"/>
    <w:basedOn w:val="Normal"/>
    <w:next w:val="Normal"/>
    <w:hidden/>
    <w:uiPriority w:val="99"/>
    <w:pPr>
      <w:ind w:left="1800" w:hanging="200"/>
    </w:pPr>
  </w:style>
  <w:style w:type="paragraph" w:styleId="IndexHeading">
    <w:name w:val="index heading"/>
    <w:basedOn w:val="Normal"/>
    <w:next w:val="Index1"/>
    <w:hidden/>
    <w:uiPriority w:val="99"/>
    <w:rPr>
      <w:b/>
      <w:bCs/>
    </w:rPr>
  </w:style>
  <w:style w:type="paragraph" w:styleId="MacroText">
    <w:name w:val="macro"/>
    <w:link w:val="MacroTextChar"/>
    <w:hidden/>
    <w:uiPriority w:val="99"/>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240" w:line="240" w:lineRule="atLeast"/>
    </w:pPr>
    <w:rPr>
      <w:rFonts w:ascii="Courier New" w:hAnsi="Courier New" w:cs="Courier New"/>
    </w:rPr>
  </w:style>
  <w:style w:type="character" w:customStyle="1" w:styleId="MacroTextChar">
    <w:name w:val="Macro Text Char"/>
    <w:link w:val="MacroText"/>
    <w:uiPriority w:val="99"/>
    <w:semiHidden/>
    <w:rPr>
      <w:rFonts w:ascii="Courier New" w:hAnsi="Courier New" w:cs="Courier New"/>
      <w:sz w:val="20"/>
      <w:szCs w:val="20"/>
    </w:rPr>
  </w:style>
  <w:style w:type="paragraph" w:styleId="TableofAuthorities">
    <w:name w:val="table of authorities"/>
    <w:basedOn w:val="Normal"/>
    <w:next w:val="Normal"/>
    <w:hidden/>
    <w:uiPriority w:val="99"/>
    <w:pPr>
      <w:ind w:left="200" w:hanging="200"/>
    </w:pPr>
  </w:style>
  <w:style w:type="paragraph" w:styleId="TableofFigures">
    <w:name w:val="table of figures"/>
    <w:basedOn w:val="Normal"/>
    <w:next w:val="Normal"/>
    <w:hidden/>
    <w:uiPriority w:val="99"/>
  </w:style>
  <w:style w:type="paragraph" w:styleId="TOAHeading">
    <w:name w:val="toa heading"/>
    <w:basedOn w:val="Normal"/>
    <w:next w:val="Normal"/>
    <w:hidden/>
    <w:uiPriority w:val="99"/>
    <w:rPr>
      <w:b/>
      <w:bCs/>
    </w:rPr>
  </w:style>
  <w:style w:type="paragraph" w:styleId="TOC1">
    <w:name w:val="toc 1"/>
    <w:basedOn w:val="Normal"/>
    <w:next w:val="Normal"/>
    <w:hidden/>
    <w:uiPriority w:val="99"/>
    <w:pPr>
      <w:tabs>
        <w:tab w:val="right" w:pos="8820"/>
      </w:tabs>
      <w:ind w:right="867"/>
    </w:pPr>
  </w:style>
  <w:style w:type="paragraph" w:styleId="TOC2">
    <w:name w:val="toc 2"/>
    <w:basedOn w:val="TOC1"/>
    <w:next w:val="Normal"/>
    <w:hidden/>
    <w:uiPriority w:val="99"/>
    <w:pPr>
      <w:ind w:left="720" w:right="864" w:hanging="720"/>
    </w:pPr>
  </w:style>
  <w:style w:type="paragraph" w:styleId="TOC3">
    <w:name w:val="toc 3"/>
    <w:basedOn w:val="TOC1"/>
    <w:next w:val="Normal"/>
    <w:hidden/>
    <w:uiPriority w:val="99"/>
    <w:pPr>
      <w:ind w:left="1440" w:right="864" w:hanging="720"/>
    </w:pPr>
  </w:style>
  <w:style w:type="paragraph" w:styleId="TOC4">
    <w:name w:val="toc 4"/>
    <w:basedOn w:val="TOC1"/>
    <w:next w:val="Normal"/>
    <w:hidden/>
    <w:uiPriority w:val="99"/>
    <w:pPr>
      <w:ind w:left="2160" w:right="864" w:hanging="720"/>
    </w:pPr>
  </w:style>
  <w:style w:type="paragraph" w:styleId="TOC5">
    <w:name w:val="toc 5"/>
    <w:basedOn w:val="TOC1"/>
    <w:next w:val="Normal"/>
    <w:hidden/>
    <w:uiPriority w:val="99"/>
    <w:pPr>
      <w:ind w:left="2880" w:hanging="720"/>
    </w:pPr>
  </w:style>
  <w:style w:type="paragraph" w:styleId="TOC6">
    <w:name w:val="toc 6"/>
    <w:basedOn w:val="TOC1"/>
    <w:next w:val="Normal"/>
    <w:hidden/>
    <w:uiPriority w:val="99"/>
    <w:pPr>
      <w:ind w:left="3600" w:right="864" w:hanging="720"/>
    </w:pPr>
  </w:style>
  <w:style w:type="paragraph" w:styleId="TOC7">
    <w:name w:val="toc 7"/>
    <w:basedOn w:val="TOC1"/>
    <w:next w:val="Normal"/>
    <w:hidden/>
    <w:uiPriority w:val="99"/>
    <w:pPr>
      <w:ind w:left="720" w:right="864" w:hanging="720"/>
    </w:pPr>
  </w:style>
  <w:style w:type="paragraph" w:styleId="TOC8">
    <w:name w:val="toc 8"/>
    <w:basedOn w:val="TOC1"/>
    <w:next w:val="Normal"/>
    <w:hidden/>
    <w:uiPriority w:val="99"/>
    <w:pPr>
      <w:ind w:left="720" w:right="864" w:hanging="720"/>
    </w:pPr>
  </w:style>
  <w:style w:type="paragraph" w:styleId="TOC9">
    <w:name w:val="toc 9"/>
    <w:basedOn w:val="TOC1"/>
    <w:next w:val="Normal"/>
    <w:hidden/>
    <w:uiPriority w:val="99"/>
    <w:pPr>
      <w:ind w:left="720" w:right="864" w:hanging="720"/>
    </w:pPr>
  </w:style>
  <w:style w:type="paragraph" w:styleId="BlockText">
    <w:name w:val="Block Text"/>
    <w:basedOn w:val="Normal"/>
    <w:hidden/>
    <w:uiPriority w:val="99"/>
    <w:pPr>
      <w:ind w:left="1440" w:right="1440"/>
    </w:pPr>
  </w:style>
  <w:style w:type="paragraph" w:styleId="BodyText">
    <w:name w:val="Body Text"/>
    <w:basedOn w:val="Normal"/>
    <w:link w:val="BodyTextChar"/>
    <w:hidden/>
    <w:uiPriority w:val="99"/>
  </w:style>
  <w:style w:type="character" w:customStyle="1" w:styleId="BodyTextChar">
    <w:name w:val="Body Text Char"/>
    <w:link w:val="BodyText"/>
    <w:uiPriority w:val="99"/>
    <w:semiHidden/>
    <w:rPr>
      <w:rFonts w:ascii="Arial" w:hAnsi="Arial" w:cs="Arial"/>
      <w:sz w:val="20"/>
      <w:szCs w:val="20"/>
    </w:rPr>
  </w:style>
  <w:style w:type="paragraph" w:styleId="BodyText2">
    <w:name w:val="Body Text 2"/>
    <w:aliases w:val="bt2"/>
    <w:basedOn w:val="Normal"/>
    <w:link w:val="BodyText2Char"/>
    <w:hidden/>
    <w:uiPriority w:val="99"/>
    <w:pPr>
      <w:spacing w:line="480" w:lineRule="auto"/>
    </w:pPr>
  </w:style>
  <w:style w:type="character" w:customStyle="1" w:styleId="BodyText2Char">
    <w:name w:val="Body Text 2 Char"/>
    <w:aliases w:val="bt2 Char"/>
    <w:link w:val="BodyText2"/>
    <w:uiPriority w:val="99"/>
    <w:semiHidden/>
    <w:rPr>
      <w:rFonts w:ascii="Arial" w:hAnsi="Arial" w:cs="Arial"/>
      <w:sz w:val="20"/>
      <w:szCs w:val="20"/>
    </w:rPr>
  </w:style>
  <w:style w:type="paragraph" w:styleId="BodyText3">
    <w:name w:val="Body Text 3"/>
    <w:basedOn w:val="Normal"/>
    <w:link w:val="BodyText3Char"/>
    <w:hidden/>
    <w:uiPriority w:val="99"/>
    <w:rPr>
      <w:sz w:val="16"/>
      <w:szCs w:val="16"/>
    </w:rPr>
  </w:style>
  <w:style w:type="character" w:customStyle="1" w:styleId="BodyText3Char">
    <w:name w:val="Body Text 3 Char"/>
    <w:link w:val="BodyText3"/>
    <w:uiPriority w:val="99"/>
    <w:semiHidden/>
    <w:rPr>
      <w:rFonts w:ascii="Arial" w:hAnsi="Arial" w:cs="Arial"/>
      <w:sz w:val="16"/>
      <w:szCs w:val="16"/>
    </w:rPr>
  </w:style>
  <w:style w:type="paragraph" w:styleId="BodyTextFirstIndent">
    <w:name w:val="Body Text First Indent"/>
    <w:aliases w:val="btfi"/>
    <w:basedOn w:val="BodyText"/>
    <w:link w:val="BodyTextFirstIndentChar"/>
    <w:hidden/>
    <w:uiPriority w:val="99"/>
    <w:pPr>
      <w:ind w:firstLine="720"/>
    </w:pPr>
  </w:style>
  <w:style w:type="character" w:customStyle="1" w:styleId="BodyTextFirstIndentChar">
    <w:name w:val="Body Text First Indent Char"/>
    <w:aliases w:val="btfi Char"/>
    <w:link w:val="BodyTextFirstIndent"/>
    <w:uiPriority w:val="99"/>
    <w:semiHidden/>
  </w:style>
  <w:style w:type="paragraph" w:styleId="BodyTextIndent">
    <w:name w:val="Body Text Indent"/>
    <w:aliases w:val="bti"/>
    <w:basedOn w:val="BodyText"/>
    <w:link w:val="BodyTextIndentChar"/>
    <w:hidden/>
    <w:uiPriority w:val="99"/>
    <w:pPr>
      <w:ind w:left="720"/>
    </w:pPr>
  </w:style>
  <w:style w:type="character" w:customStyle="1" w:styleId="BodyTextIndentChar">
    <w:name w:val="Body Text Indent Char"/>
    <w:aliases w:val="bti Char"/>
    <w:link w:val="BodyTextIndent"/>
    <w:uiPriority w:val="99"/>
    <w:semiHidden/>
    <w:rPr>
      <w:rFonts w:ascii="Arial" w:hAnsi="Arial" w:cs="Arial"/>
      <w:sz w:val="20"/>
      <w:szCs w:val="20"/>
    </w:rPr>
  </w:style>
  <w:style w:type="paragraph" w:styleId="BodyTextFirstIndent2">
    <w:name w:val="Body Text First Indent 2"/>
    <w:basedOn w:val="BodyTextIndent2"/>
    <w:link w:val="BodyTextFirstIndent2Char"/>
    <w:hidden/>
    <w:uiPriority w:val="99"/>
    <w:pPr>
      <w:ind w:left="0" w:firstLine="720"/>
    </w:pPr>
  </w:style>
  <w:style w:type="character" w:customStyle="1" w:styleId="BodyTextFirstIndent2Char">
    <w:name w:val="Body Text First Indent 2 Char"/>
    <w:link w:val="BodyTextFirstIndent2"/>
    <w:uiPriority w:val="99"/>
    <w:semiHidden/>
  </w:style>
  <w:style w:type="paragraph" w:styleId="BodyTextIndent3">
    <w:name w:val="Body Text Indent 3"/>
    <w:aliases w:val="bti3"/>
    <w:basedOn w:val="BodyText3"/>
    <w:link w:val="BodyTextIndent3Char"/>
    <w:hidden/>
    <w:uiPriority w:val="99"/>
    <w:pPr>
      <w:ind w:left="720"/>
    </w:pPr>
  </w:style>
  <w:style w:type="character" w:customStyle="1" w:styleId="BodyTextIndent3Char">
    <w:name w:val="Body Text Indent 3 Char"/>
    <w:aliases w:val="bti3 Char"/>
    <w:link w:val="BodyTextIndent3"/>
    <w:uiPriority w:val="99"/>
    <w:semiHidden/>
    <w:rPr>
      <w:rFonts w:ascii="Arial" w:hAnsi="Arial" w:cs="Arial"/>
      <w:sz w:val="16"/>
      <w:szCs w:val="16"/>
    </w:rPr>
  </w:style>
  <w:style w:type="paragraph" w:styleId="BodyTextIndent2">
    <w:name w:val="Body Text Indent 2"/>
    <w:aliases w:val="bti2"/>
    <w:basedOn w:val="BodyText2"/>
    <w:link w:val="BodyTextIndent2Char"/>
    <w:hidden/>
    <w:uiPriority w:val="99"/>
    <w:pPr>
      <w:ind w:left="720"/>
    </w:pPr>
  </w:style>
  <w:style w:type="character" w:customStyle="1" w:styleId="BodyTextIndent2Char">
    <w:name w:val="Body Text Indent 2 Char"/>
    <w:aliases w:val="bti2 Char"/>
    <w:link w:val="BodyTextIndent2"/>
    <w:uiPriority w:val="99"/>
    <w:semiHidden/>
    <w:rPr>
      <w:rFonts w:ascii="Arial" w:hAnsi="Arial" w:cs="Arial"/>
      <w:sz w:val="20"/>
      <w:szCs w:val="20"/>
    </w:rPr>
  </w:style>
  <w:style w:type="paragraph" w:customStyle="1" w:styleId="sch1">
    <w:name w:val="sch1"/>
    <w:basedOn w:val="Normal"/>
    <w:next w:val="Normal"/>
    <w:uiPriority w:val="99"/>
    <w:pPr>
      <w:numPr>
        <w:numId w:val="11"/>
      </w:numPr>
    </w:pPr>
  </w:style>
  <w:style w:type="paragraph" w:customStyle="1" w:styleId="sch2">
    <w:name w:val="sch2"/>
    <w:basedOn w:val="Normal"/>
    <w:next w:val="Level1fo"/>
    <w:uiPriority w:val="99"/>
    <w:pPr>
      <w:numPr>
        <w:ilvl w:val="1"/>
        <w:numId w:val="11"/>
      </w:numPr>
    </w:pPr>
  </w:style>
  <w:style w:type="paragraph" w:customStyle="1" w:styleId="sch3">
    <w:name w:val="sch3"/>
    <w:basedOn w:val="Normal"/>
    <w:next w:val="Level11fo"/>
    <w:uiPriority w:val="99"/>
    <w:pPr>
      <w:numPr>
        <w:ilvl w:val="2"/>
        <w:numId w:val="11"/>
      </w:numPr>
    </w:pPr>
  </w:style>
  <w:style w:type="paragraph" w:customStyle="1" w:styleId="sch4">
    <w:name w:val="sch4"/>
    <w:basedOn w:val="Normal"/>
    <w:next w:val="Levelafo"/>
    <w:uiPriority w:val="99"/>
    <w:pPr>
      <w:numPr>
        <w:ilvl w:val="3"/>
        <w:numId w:val="11"/>
      </w:numPr>
    </w:pPr>
  </w:style>
  <w:style w:type="paragraph" w:customStyle="1" w:styleId="sch5">
    <w:name w:val="sch5"/>
    <w:basedOn w:val="Normal"/>
    <w:next w:val="Levelifo"/>
    <w:uiPriority w:val="99"/>
    <w:pPr>
      <w:numPr>
        <w:ilvl w:val="4"/>
        <w:numId w:val="11"/>
      </w:numPr>
    </w:pPr>
  </w:style>
  <w:style w:type="paragraph" w:customStyle="1" w:styleId="sch6">
    <w:name w:val="sch6"/>
    <w:basedOn w:val="Normal"/>
    <w:next w:val="LevelAfo0"/>
    <w:uiPriority w:val="99"/>
    <w:pPr>
      <w:numPr>
        <w:ilvl w:val="5"/>
        <w:numId w:val="11"/>
      </w:numPr>
    </w:pPr>
  </w:style>
  <w:style w:type="paragraph" w:customStyle="1" w:styleId="Level1fo">
    <w:name w:val="Level 1.fo"/>
    <w:basedOn w:val="Normal"/>
    <w:uiPriority w:val="99"/>
    <w:pPr>
      <w:ind w:left="720"/>
    </w:pPr>
  </w:style>
  <w:style w:type="paragraph" w:customStyle="1" w:styleId="Level1">
    <w:name w:val="Level 1."/>
    <w:basedOn w:val="Normal"/>
    <w:next w:val="Level1fo"/>
    <w:pPr>
      <w:numPr>
        <w:numId w:val="12"/>
      </w:numPr>
      <w:outlineLvl w:val="0"/>
    </w:pPr>
  </w:style>
  <w:style w:type="paragraph" w:customStyle="1" w:styleId="Level11fo">
    <w:name w:val="Level 1.1fo"/>
    <w:basedOn w:val="Normal"/>
    <w:uiPriority w:val="99"/>
    <w:pPr>
      <w:ind w:left="720"/>
    </w:pPr>
  </w:style>
  <w:style w:type="paragraph" w:customStyle="1" w:styleId="Level11">
    <w:name w:val="Level 1.1"/>
    <w:basedOn w:val="Normal"/>
    <w:next w:val="Level11fo"/>
    <w:pPr>
      <w:numPr>
        <w:ilvl w:val="1"/>
        <w:numId w:val="12"/>
      </w:numPr>
      <w:outlineLvl w:val="1"/>
    </w:pPr>
  </w:style>
  <w:style w:type="paragraph" w:customStyle="1" w:styleId="Levelafo">
    <w:name w:val="Level (a)fo"/>
    <w:basedOn w:val="Normal"/>
    <w:uiPriority w:val="99"/>
    <w:pPr>
      <w:ind w:left="1440"/>
    </w:pPr>
  </w:style>
  <w:style w:type="paragraph" w:customStyle="1" w:styleId="Levela">
    <w:name w:val="Level (a)"/>
    <w:basedOn w:val="Normal"/>
    <w:next w:val="Levelafo"/>
    <w:pPr>
      <w:numPr>
        <w:ilvl w:val="2"/>
        <w:numId w:val="12"/>
      </w:numPr>
      <w:outlineLvl w:val="2"/>
    </w:pPr>
  </w:style>
  <w:style w:type="paragraph" w:customStyle="1" w:styleId="Levelifo">
    <w:name w:val="Level (i)fo"/>
    <w:basedOn w:val="Normal"/>
    <w:uiPriority w:val="99"/>
    <w:pPr>
      <w:ind w:left="2160"/>
    </w:pPr>
  </w:style>
  <w:style w:type="paragraph" w:customStyle="1" w:styleId="Leveli">
    <w:name w:val="Level (i)"/>
    <w:basedOn w:val="Normal"/>
    <w:next w:val="Levelifo"/>
    <w:pPr>
      <w:numPr>
        <w:ilvl w:val="3"/>
        <w:numId w:val="12"/>
      </w:numPr>
      <w:outlineLvl w:val="3"/>
    </w:pPr>
  </w:style>
  <w:style w:type="paragraph" w:customStyle="1" w:styleId="LevelAfo0">
    <w:name w:val="Level(A)fo"/>
    <w:basedOn w:val="Normal"/>
    <w:uiPriority w:val="99"/>
    <w:pPr>
      <w:ind w:left="2880"/>
    </w:pPr>
  </w:style>
  <w:style w:type="paragraph" w:customStyle="1" w:styleId="LevelA0">
    <w:name w:val="Level(A)"/>
    <w:basedOn w:val="Normal"/>
    <w:next w:val="LevelAfo0"/>
    <w:pPr>
      <w:numPr>
        <w:ilvl w:val="4"/>
        <w:numId w:val="12"/>
      </w:numPr>
      <w:outlineLvl w:val="4"/>
    </w:pPr>
  </w:style>
  <w:style w:type="paragraph" w:customStyle="1" w:styleId="LevelIfo0">
    <w:name w:val="Level(I)fo"/>
    <w:basedOn w:val="Normal"/>
    <w:uiPriority w:val="99"/>
    <w:pPr>
      <w:ind w:left="3600"/>
    </w:pPr>
  </w:style>
  <w:style w:type="paragraph" w:customStyle="1" w:styleId="LevelI0">
    <w:name w:val="Level(I)"/>
    <w:basedOn w:val="Normal"/>
    <w:next w:val="LevelIfo0"/>
    <w:pPr>
      <w:numPr>
        <w:ilvl w:val="5"/>
        <w:numId w:val="12"/>
      </w:numPr>
      <w:outlineLvl w:val="5"/>
    </w:pPr>
  </w:style>
  <w:style w:type="paragraph" w:styleId="Closing">
    <w:name w:val="Closing"/>
    <w:basedOn w:val="Normal"/>
    <w:link w:val="ClosingChar"/>
    <w:hidden/>
    <w:uiPriority w:val="99"/>
  </w:style>
  <w:style w:type="character" w:customStyle="1" w:styleId="ClosingChar">
    <w:name w:val="Closing Char"/>
    <w:link w:val="Closing"/>
    <w:uiPriority w:val="99"/>
    <w:semiHidden/>
    <w:rPr>
      <w:rFonts w:ascii="Arial" w:hAnsi="Arial" w:cs="Arial"/>
      <w:sz w:val="20"/>
      <w:szCs w:val="20"/>
    </w:rPr>
  </w:style>
  <w:style w:type="paragraph" w:styleId="EnvelopeAddress">
    <w:name w:val="envelope address"/>
    <w:basedOn w:val="Normal"/>
    <w:hidden/>
    <w:uiPriority w:val="99"/>
    <w:pPr>
      <w:framePr w:w="7920" w:h="1980" w:hRule="exact" w:hSpace="180" w:wrap="auto" w:hAnchor="page" w:xAlign="center" w:yAlign="bottom"/>
      <w:ind w:left="2880"/>
    </w:pPr>
  </w:style>
  <w:style w:type="paragraph" w:styleId="Footer">
    <w:name w:val="footer"/>
    <w:basedOn w:val="Normal"/>
    <w:link w:val="FooterChar"/>
    <w:qFormat/>
    <w:pPr>
      <w:spacing w:before="0" w:line="180" w:lineRule="atLeast"/>
      <w:ind w:left="-851"/>
    </w:pPr>
    <w:rPr>
      <w:sz w:val="14"/>
      <w:szCs w:val="14"/>
    </w:rPr>
  </w:style>
  <w:style w:type="character" w:customStyle="1" w:styleId="FooterChar">
    <w:name w:val="Footer Char"/>
    <w:link w:val="Footer"/>
    <w:rPr>
      <w:rFonts w:ascii="Arial" w:hAnsi="Arial" w:cs="Arial"/>
      <w:sz w:val="20"/>
      <w:szCs w:val="20"/>
    </w:rPr>
  </w:style>
  <w:style w:type="paragraph" w:styleId="Header">
    <w:name w:val="header"/>
    <w:basedOn w:val="Normal"/>
    <w:link w:val="HeaderChar"/>
    <w:uiPriority w:val="99"/>
    <w:pPr>
      <w:spacing w:before="0" w:line="180" w:lineRule="atLeast"/>
      <w:ind w:left="-850"/>
    </w:pPr>
    <w:rPr>
      <w:sz w:val="14"/>
      <w:szCs w:val="14"/>
    </w:rPr>
  </w:style>
  <w:style w:type="character" w:customStyle="1" w:styleId="HeaderChar">
    <w:name w:val="Header Char"/>
    <w:link w:val="Header"/>
    <w:uiPriority w:val="99"/>
    <w:semiHidden/>
    <w:rPr>
      <w:rFonts w:ascii="Arial" w:hAnsi="Arial" w:cs="Arial"/>
      <w:sz w:val="20"/>
      <w:szCs w:val="20"/>
    </w:rPr>
  </w:style>
  <w:style w:type="paragraph" w:styleId="List">
    <w:name w:val="List"/>
    <w:basedOn w:val="Normal"/>
    <w:hidden/>
    <w:uiPriority w:val="99"/>
    <w:pPr>
      <w:ind w:left="720" w:hanging="720"/>
    </w:pPr>
  </w:style>
  <w:style w:type="paragraph" w:styleId="List2">
    <w:name w:val="List 2"/>
    <w:basedOn w:val="Normal"/>
    <w:next w:val="List"/>
    <w:hidden/>
    <w:uiPriority w:val="99"/>
    <w:pPr>
      <w:ind w:left="1440" w:hanging="720"/>
    </w:pPr>
  </w:style>
  <w:style w:type="paragraph" w:styleId="List3">
    <w:name w:val="List 3"/>
    <w:basedOn w:val="Normal"/>
    <w:next w:val="List"/>
    <w:hidden/>
    <w:uiPriority w:val="99"/>
    <w:pPr>
      <w:ind w:left="2160" w:hanging="720"/>
    </w:pPr>
  </w:style>
  <w:style w:type="paragraph" w:styleId="List4">
    <w:name w:val="List 4"/>
    <w:basedOn w:val="List"/>
    <w:hidden/>
    <w:uiPriority w:val="99"/>
    <w:pPr>
      <w:ind w:left="2880"/>
    </w:pPr>
  </w:style>
  <w:style w:type="paragraph" w:styleId="List5">
    <w:name w:val="List 5"/>
    <w:basedOn w:val="Normal"/>
    <w:next w:val="List"/>
    <w:hidden/>
    <w:uiPriority w:val="99"/>
    <w:pPr>
      <w:ind w:left="3600" w:hanging="720"/>
    </w:pPr>
  </w:style>
  <w:style w:type="paragraph" w:styleId="ListBullet">
    <w:name w:val="List Bullet"/>
    <w:aliases w:val="lb"/>
    <w:basedOn w:val="Normal"/>
    <w:uiPriority w:val="99"/>
    <w:pPr>
      <w:numPr>
        <w:numId w:val="1"/>
      </w:numPr>
    </w:pPr>
  </w:style>
  <w:style w:type="paragraph" w:styleId="ListBullet2">
    <w:name w:val="List Bullet 2"/>
    <w:aliases w:val="lb2"/>
    <w:basedOn w:val="Normal"/>
    <w:uiPriority w:val="99"/>
    <w:pPr>
      <w:numPr>
        <w:numId w:val="2"/>
      </w:numPr>
    </w:pPr>
  </w:style>
  <w:style w:type="paragraph" w:styleId="ListBullet3">
    <w:name w:val="List Bullet 3"/>
    <w:aliases w:val="lb3"/>
    <w:basedOn w:val="Normal"/>
    <w:uiPriority w:val="99"/>
    <w:pPr>
      <w:numPr>
        <w:numId w:val="3"/>
      </w:numPr>
    </w:pPr>
  </w:style>
  <w:style w:type="paragraph" w:styleId="ListBullet4">
    <w:name w:val="List Bullet 4"/>
    <w:aliases w:val="lb4"/>
    <w:basedOn w:val="Normal"/>
    <w:hidden/>
    <w:uiPriority w:val="99"/>
    <w:pPr>
      <w:numPr>
        <w:numId w:val="4"/>
      </w:numPr>
    </w:pPr>
  </w:style>
  <w:style w:type="paragraph" w:styleId="ListBullet5">
    <w:name w:val="List Bullet 5"/>
    <w:aliases w:val="lb5"/>
    <w:basedOn w:val="Normal"/>
    <w:hidden/>
    <w:uiPriority w:val="99"/>
    <w:pPr>
      <w:numPr>
        <w:numId w:val="5"/>
      </w:numPr>
    </w:pPr>
  </w:style>
  <w:style w:type="paragraph" w:styleId="ListContinue">
    <w:name w:val="List Continue"/>
    <w:basedOn w:val="Normal"/>
    <w:hidden/>
    <w:uiPriority w:val="99"/>
    <w:pPr>
      <w:ind w:left="720"/>
    </w:pPr>
  </w:style>
  <w:style w:type="paragraph" w:styleId="ListContinue2">
    <w:name w:val="List Continue 2"/>
    <w:basedOn w:val="Normal"/>
    <w:hidden/>
    <w:uiPriority w:val="99"/>
    <w:pPr>
      <w:ind w:left="1440"/>
    </w:pPr>
  </w:style>
  <w:style w:type="paragraph" w:styleId="ListContinue3">
    <w:name w:val="List Continue 3"/>
    <w:basedOn w:val="Normal"/>
    <w:hidden/>
    <w:uiPriority w:val="99"/>
    <w:pPr>
      <w:ind w:left="2160"/>
    </w:pPr>
  </w:style>
  <w:style w:type="paragraph" w:styleId="ListContinue4">
    <w:name w:val="List Continue 4"/>
    <w:basedOn w:val="Normal"/>
    <w:hidden/>
    <w:uiPriority w:val="99"/>
    <w:pPr>
      <w:ind w:left="2880"/>
    </w:pPr>
  </w:style>
  <w:style w:type="paragraph" w:styleId="ListContinue5">
    <w:name w:val="List Continue 5"/>
    <w:basedOn w:val="Normal"/>
    <w:hidden/>
    <w:uiPriority w:val="99"/>
    <w:pPr>
      <w:ind w:left="3600"/>
    </w:pPr>
  </w:style>
  <w:style w:type="paragraph" w:styleId="MessageHeader">
    <w:name w:val="Message Header"/>
    <w:basedOn w:val="Normal"/>
    <w:link w:val="MessageHeaderChar"/>
    <w:hidden/>
    <w:uiPriority w:val="99"/>
    <w:pPr>
      <w:pBdr>
        <w:top w:val="single" w:sz="6" w:space="1" w:color="000000"/>
        <w:left w:val="single" w:sz="6" w:space="1" w:color="000000"/>
        <w:bottom w:val="single" w:sz="6" w:space="1" w:color="000000"/>
        <w:right w:val="single" w:sz="6" w:space="1" w:color="000000"/>
      </w:pBdr>
      <w:shd w:val="pct20" w:color="auto" w:fill="auto"/>
      <w:ind w:left="1134" w:hanging="1134"/>
    </w:pPr>
  </w:style>
  <w:style w:type="character" w:customStyle="1" w:styleId="MessageHeaderChar">
    <w:name w:val="Message Header Char"/>
    <w:link w:val="MessageHeader"/>
    <w:uiPriority w:val="99"/>
    <w:semiHidden/>
    <w:rPr>
      <w:rFonts w:ascii="Cambria" w:eastAsia="Times New Roman" w:hAnsi="Cambria" w:cs="Times New Roman"/>
      <w:sz w:val="24"/>
      <w:szCs w:val="24"/>
      <w:shd w:val="pct20" w:color="auto" w:fill="auto"/>
    </w:rPr>
  </w:style>
  <w:style w:type="paragraph" w:customStyle="1" w:styleId="NormalWeb">
    <w:name w:val="Normal(Web)"/>
    <w:basedOn w:val="Normal"/>
    <w:hidden/>
    <w:uiPriority w:val="99"/>
  </w:style>
  <w:style w:type="paragraph" w:styleId="Signature">
    <w:name w:val="Signature"/>
    <w:aliases w:val="sig"/>
    <w:basedOn w:val="Normal"/>
    <w:link w:val="SignatureChar"/>
    <w:hidden/>
    <w:uiPriority w:val="99"/>
  </w:style>
  <w:style w:type="character" w:customStyle="1" w:styleId="SignatureChar">
    <w:name w:val="Signature Char"/>
    <w:aliases w:val="sig Char"/>
    <w:link w:val="Signature"/>
    <w:uiPriority w:val="99"/>
    <w:semiHidden/>
    <w:rPr>
      <w:rFonts w:ascii="Arial" w:hAnsi="Arial" w:cs="Arial"/>
      <w:sz w:val="20"/>
      <w:szCs w:val="20"/>
    </w:rPr>
  </w:style>
  <w:style w:type="paragraph" w:styleId="Subtitle">
    <w:name w:val="Subtitle"/>
    <w:aliases w:val="sub"/>
    <w:basedOn w:val="Title"/>
    <w:link w:val="SubtitleChar"/>
    <w:uiPriority w:val="99"/>
    <w:qFormat/>
    <w:pPr>
      <w:keepNext/>
      <w:spacing w:line="240" w:lineRule="atLeast"/>
      <w:outlineLvl w:val="1"/>
    </w:pPr>
    <w:rPr>
      <w:sz w:val="20"/>
      <w:szCs w:val="20"/>
    </w:rPr>
  </w:style>
  <w:style w:type="character" w:customStyle="1" w:styleId="SubtitleChar">
    <w:name w:val="Subtitle Char"/>
    <w:aliases w:val="sub Char"/>
    <w:link w:val="Subtitle"/>
    <w:uiPriority w:val="11"/>
    <w:rPr>
      <w:rFonts w:ascii="Cambria" w:eastAsia="Times New Roman" w:hAnsi="Cambria" w:cs="Times New Roman"/>
      <w:sz w:val="24"/>
      <w:szCs w:val="24"/>
    </w:rPr>
  </w:style>
  <w:style w:type="paragraph" w:styleId="ListNumber">
    <w:name w:val="List Number"/>
    <w:aliases w:val="ln"/>
    <w:basedOn w:val="Normal"/>
    <w:uiPriority w:val="99"/>
    <w:pPr>
      <w:numPr>
        <w:numId w:val="6"/>
      </w:numPr>
    </w:pPr>
  </w:style>
  <w:style w:type="paragraph" w:styleId="Title">
    <w:name w:val="Title"/>
    <w:aliases w:val="t"/>
    <w:basedOn w:val="Normal"/>
    <w:next w:val="Subtitle"/>
    <w:link w:val="TitleChar"/>
    <w:uiPriority w:val="99"/>
    <w:qFormat/>
    <w:pPr>
      <w:spacing w:line="440" w:lineRule="atLeast"/>
      <w:outlineLvl w:val="0"/>
    </w:pPr>
    <w:rPr>
      <w:b/>
      <w:bCs/>
      <w:sz w:val="36"/>
      <w:szCs w:val="36"/>
    </w:rPr>
  </w:style>
  <w:style w:type="character" w:customStyle="1" w:styleId="TitleChar">
    <w:name w:val="Title Char"/>
    <w:aliases w:val="t Char"/>
    <w:link w:val="Title"/>
    <w:uiPriority w:val="10"/>
    <w:rPr>
      <w:rFonts w:ascii="Cambria" w:eastAsia="Times New Roman" w:hAnsi="Cambria" w:cs="Times New Roman"/>
      <w:b/>
      <w:bCs/>
      <w:kern w:val="28"/>
      <w:sz w:val="32"/>
      <w:szCs w:val="32"/>
    </w:rPr>
  </w:style>
  <w:style w:type="paragraph" w:styleId="ListNumber2">
    <w:name w:val="List Number 2"/>
    <w:aliases w:val="ln2"/>
    <w:basedOn w:val="Normal"/>
    <w:uiPriority w:val="99"/>
    <w:pPr>
      <w:numPr>
        <w:numId w:val="7"/>
      </w:numPr>
    </w:pPr>
  </w:style>
  <w:style w:type="paragraph" w:styleId="ListNumber3">
    <w:name w:val="List Number 3"/>
    <w:aliases w:val="ln3"/>
    <w:basedOn w:val="Normal"/>
    <w:uiPriority w:val="99"/>
    <w:pPr>
      <w:numPr>
        <w:numId w:val="8"/>
      </w:numPr>
    </w:pPr>
  </w:style>
  <w:style w:type="paragraph" w:styleId="ListNumber4">
    <w:name w:val="List Number 4"/>
    <w:aliases w:val="ln4"/>
    <w:basedOn w:val="Normal"/>
    <w:hidden/>
    <w:uiPriority w:val="99"/>
    <w:pPr>
      <w:numPr>
        <w:numId w:val="9"/>
      </w:numPr>
    </w:pPr>
  </w:style>
  <w:style w:type="paragraph" w:styleId="ListNumber5">
    <w:name w:val="List Number 5"/>
    <w:aliases w:val="ln5"/>
    <w:basedOn w:val="Normal"/>
    <w:uiPriority w:val="99"/>
    <w:pPr>
      <w:numPr>
        <w:numId w:val="10"/>
      </w:numPr>
    </w:pPr>
  </w:style>
  <w:style w:type="paragraph" w:customStyle="1" w:styleId="NoteParagraph">
    <w:name w:val="NoteParagraph"/>
    <w:aliases w:val="np"/>
    <w:basedOn w:val="Normal"/>
    <w:hidden/>
    <w:uiPriority w:val="99"/>
    <w:pPr>
      <w:keepNext/>
      <w:shd w:val="pct10" w:color="auto" w:fill="FFFFFF"/>
    </w:pPr>
  </w:style>
  <w:style w:type="paragraph" w:customStyle="1" w:styleId="sch7">
    <w:name w:val="sch7"/>
    <w:basedOn w:val="Normal"/>
    <w:next w:val="LevelIfo0"/>
    <w:uiPriority w:val="99"/>
    <w:pPr>
      <w:numPr>
        <w:ilvl w:val="6"/>
        <w:numId w:val="11"/>
      </w:numPr>
    </w:pPr>
  </w:style>
  <w:style w:type="paragraph" w:styleId="Date">
    <w:name w:val="Date"/>
    <w:aliases w:val="d"/>
    <w:basedOn w:val="Normal"/>
    <w:next w:val="Normal"/>
    <w:link w:val="DateChar"/>
    <w:hidden/>
    <w:uiPriority w:val="99"/>
  </w:style>
  <w:style w:type="character" w:customStyle="1" w:styleId="DateChar">
    <w:name w:val="Date Char"/>
    <w:aliases w:val="d Char"/>
    <w:link w:val="Date"/>
    <w:uiPriority w:val="99"/>
    <w:semiHidden/>
    <w:rPr>
      <w:rFonts w:ascii="Arial" w:hAnsi="Arial" w:cs="Arial"/>
      <w:sz w:val="20"/>
      <w:szCs w:val="20"/>
    </w:rPr>
  </w:style>
  <w:style w:type="paragraph" w:styleId="E-mailSignature">
    <w:name w:val="E-mail Signature"/>
    <w:basedOn w:val="Normal"/>
    <w:link w:val="E-mailSignatureChar"/>
    <w:hidden/>
    <w:uiPriority w:val="99"/>
  </w:style>
  <w:style w:type="character" w:customStyle="1" w:styleId="E-mailSignatureChar">
    <w:name w:val="E-mail Signature Char"/>
    <w:link w:val="E-mailSignature"/>
    <w:uiPriority w:val="99"/>
    <w:semiHidden/>
    <w:rPr>
      <w:rFonts w:ascii="Arial" w:hAnsi="Arial" w:cs="Arial"/>
      <w:sz w:val="20"/>
      <w:szCs w:val="20"/>
    </w:rPr>
  </w:style>
  <w:style w:type="character" w:styleId="Emphasis">
    <w:name w:val="Emphasis"/>
    <w:uiPriority w:val="99"/>
    <w:qFormat/>
    <w:rPr>
      <w:rFonts w:ascii="Arial" w:hAnsi="Arial" w:cs="Arial"/>
      <w:i/>
      <w:iCs/>
      <w:sz w:val="20"/>
      <w:szCs w:val="20"/>
      <w:lang w:val="en-AU"/>
    </w:rPr>
  </w:style>
  <w:style w:type="paragraph" w:styleId="EnvelopeReturn">
    <w:name w:val="envelope return"/>
    <w:basedOn w:val="Normal"/>
    <w:hidden/>
    <w:uiPriority w:val="99"/>
  </w:style>
  <w:style w:type="character" w:styleId="FollowedHyperlink">
    <w:name w:val="FollowedHyperlink"/>
    <w:hidden/>
    <w:uiPriority w:val="99"/>
    <w:rPr>
      <w:rFonts w:ascii="Arial" w:hAnsi="Arial" w:cs="Arial"/>
      <w:color w:val="800080"/>
      <w:sz w:val="20"/>
      <w:szCs w:val="20"/>
      <w:u w:val="single"/>
      <w:lang w:val="en-AU"/>
    </w:rPr>
  </w:style>
  <w:style w:type="character" w:styleId="HTMLAcronym">
    <w:name w:val="HTML Acronym"/>
    <w:hidden/>
    <w:uiPriority w:val="99"/>
    <w:rPr>
      <w:rFonts w:ascii="Arial" w:hAnsi="Arial" w:cs="Arial"/>
      <w:sz w:val="20"/>
      <w:szCs w:val="20"/>
      <w:lang w:val="en-AU"/>
    </w:rPr>
  </w:style>
  <w:style w:type="paragraph" w:styleId="HTMLAddress">
    <w:name w:val="HTML Address"/>
    <w:basedOn w:val="Normal"/>
    <w:link w:val="HTMLAddressChar"/>
    <w:hidden/>
    <w:uiPriority w:val="99"/>
    <w:rPr>
      <w:i/>
      <w:iCs/>
    </w:rPr>
  </w:style>
  <w:style w:type="character" w:customStyle="1" w:styleId="HTMLAddressChar">
    <w:name w:val="HTML Address Char"/>
    <w:link w:val="HTMLAddress"/>
    <w:uiPriority w:val="99"/>
    <w:semiHidden/>
    <w:rPr>
      <w:rFonts w:ascii="Arial" w:hAnsi="Arial" w:cs="Arial"/>
      <w:i/>
      <w:iCs/>
      <w:sz w:val="20"/>
      <w:szCs w:val="20"/>
    </w:rPr>
  </w:style>
  <w:style w:type="character" w:styleId="HTMLCite">
    <w:name w:val="HTML Cite"/>
    <w:hidden/>
    <w:uiPriority w:val="99"/>
    <w:rPr>
      <w:rFonts w:ascii="Arial" w:hAnsi="Arial" w:cs="Arial"/>
      <w:i/>
      <w:iCs/>
      <w:sz w:val="20"/>
      <w:szCs w:val="20"/>
      <w:lang w:val="en-AU"/>
    </w:rPr>
  </w:style>
  <w:style w:type="character" w:styleId="HTMLCode">
    <w:name w:val="HTML Code"/>
    <w:hidden/>
    <w:uiPriority w:val="99"/>
    <w:rPr>
      <w:rFonts w:ascii="Courier New" w:hAnsi="Courier New" w:cs="Courier New"/>
      <w:sz w:val="20"/>
      <w:szCs w:val="20"/>
      <w:lang w:val="en-AU"/>
    </w:rPr>
  </w:style>
  <w:style w:type="character" w:styleId="HTMLDefinition">
    <w:name w:val="HTML Definition"/>
    <w:hidden/>
    <w:uiPriority w:val="99"/>
    <w:rPr>
      <w:rFonts w:ascii="Arial" w:hAnsi="Arial" w:cs="Arial"/>
      <w:i/>
      <w:iCs/>
      <w:sz w:val="20"/>
      <w:szCs w:val="20"/>
      <w:lang w:val="en-AU"/>
    </w:rPr>
  </w:style>
  <w:style w:type="character" w:styleId="HTMLKeyboard">
    <w:name w:val="HTML Keyboard"/>
    <w:hidden/>
    <w:uiPriority w:val="99"/>
    <w:rPr>
      <w:rFonts w:ascii="Courier New" w:hAnsi="Courier New" w:cs="Courier New"/>
      <w:sz w:val="20"/>
      <w:szCs w:val="20"/>
      <w:lang w:val="en-AU"/>
    </w:rPr>
  </w:style>
  <w:style w:type="paragraph" w:styleId="HTMLPreformatted">
    <w:name w:val="HTML Preformatted"/>
    <w:basedOn w:val="Normal"/>
    <w:link w:val="HTMLPreformattedChar"/>
    <w:hidden/>
    <w:uiPriority w:val="99"/>
    <w:rPr>
      <w:rFonts w:ascii="Courier New" w:hAnsi="Courier New" w:cs="Courier New"/>
    </w:rPr>
  </w:style>
  <w:style w:type="character" w:customStyle="1" w:styleId="HTMLPreformattedChar">
    <w:name w:val="HTML Preformatted Char"/>
    <w:link w:val="HTMLPreformatted"/>
    <w:uiPriority w:val="99"/>
    <w:semiHidden/>
    <w:rPr>
      <w:rFonts w:ascii="Courier New" w:hAnsi="Courier New" w:cs="Courier New"/>
      <w:sz w:val="20"/>
      <w:szCs w:val="20"/>
    </w:rPr>
  </w:style>
  <w:style w:type="character" w:styleId="HTMLSample">
    <w:name w:val="HTML Sample"/>
    <w:hidden/>
    <w:uiPriority w:val="99"/>
    <w:rPr>
      <w:rFonts w:ascii="Courier New" w:hAnsi="Courier New" w:cs="Courier New"/>
      <w:sz w:val="20"/>
      <w:szCs w:val="20"/>
      <w:lang w:val="en-AU"/>
    </w:rPr>
  </w:style>
  <w:style w:type="character" w:styleId="HTMLTypewriter">
    <w:name w:val="HTML Typewriter"/>
    <w:hidden/>
    <w:uiPriority w:val="99"/>
    <w:rPr>
      <w:rFonts w:ascii="Courier New" w:hAnsi="Courier New" w:cs="Courier New"/>
      <w:sz w:val="20"/>
      <w:szCs w:val="20"/>
      <w:lang w:val="en-AU"/>
    </w:rPr>
  </w:style>
  <w:style w:type="character" w:styleId="HTMLVariable">
    <w:name w:val="HTML Variable"/>
    <w:hidden/>
    <w:uiPriority w:val="99"/>
    <w:rPr>
      <w:rFonts w:ascii="Arial" w:hAnsi="Arial" w:cs="Arial"/>
      <w:i/>
      <w:iCs/>
      <w:sz w:val="20"/>
      <w:szCs w:val="20"/>
      <w:lang w:val="en-AU"/>
    </w:rPr>
  </w:style>
  <w:style w:type="character" w:styleId="Hyperlink">
    <w:name w:val="Hyperlink"/>
    <w:hidden/>
    <w:uiPriority w:val="99"/>
    <w:rPr>
      <w:rFonts w:ascii="Arial" w:hAnsi="Arial" w:cs="Arial"/>
      <w:color w:val="0000FF"/>
      <w:sz w:val="20"/>
      <w:szCs w:val="20"/>
      <w:u w:val="single"/>
      <w:lang w:val="en-AU"/>
    </w:rPr>
  </w:style>
  <w:style w:type="character" w:styleId="LineNumber">
    <w:name w:val="line number"/>
    <w:hidden/>
    <w:uiPriority w:val="99"/>
    <w:rPr>
      <w:rFonts w:ascii="Arial" w:hAnsi="Arial" w:cs="Arial"/>
      <w:sz w:val="20"/>
      <w:szCs w:val="20"/>
      <w:lang w:val="en-AU"/>
    </w:rPr>
  </w:style>
  <w:style w:type="paragraph" w:styleId="NormalIndent">
    <w:name w:val="Normal Indent"/>
    <w:basedOn w:val="Normal"/>
    <w:uiPriority w:val="99"/>
    <w:pPr>
      <w:ind w:left="720"/>
    </w:pPr>
  </w:style>
  <w:style w:type="paragraph" w:styleId="NoteHeading">
    <w:name w:val="Note Heading"/>
    <w:basedOn w:val="Normal"/>
    <w:next w:val="Normal"/>
    <w:link w:val="NoteHeadingChar"/>
    <w:hidden/>
    <w:uiPriority w:val="99"/>
  </w:style>
  <w:style w:type="character" w:customStyle="1" w:styleId="NoteHeadingChar">
    <w:name w:val="Note Heading Char"/>
    <w:link w:val="NoteHeading"/>
    <w:uiPriority w:val="99"/>
    <w:semiHidden/>
    <w:rPr>
      <w:rFonts w:ascii="Arial" w:hAnsi="Arial" w:cs="Arial"/>
      <w:sz w:val="20"/>
      <w:szCs w:val="20"/>
    </w:rPr>
  </w:style>
  <w:style w:type="character" w:styleId="PageNumber">
    <w:name w:val="page number"/>
    <w:hidden/>
    <w:uiPriority w:val="99"/>
    <w:rPr>
      <w:rFonts w:ascii="Arial" w:hAnsi="Arial" w:cs="Arial"/>
      <w:sz w:val="20"/>
      <w:szCs w:val="20"/>
      <w:lang w:val="en-AU"/>
    </w:rPr>
  </w:style>
  <w:style w:type="paragraph" w:styleId="PlainText">
    <w:name w:val="Plain Text"/>
    <w:basedOn w:val="Normal"/>
    <w:link w:val="PlainTextChar"/>
    <w:hidden/>
    <w:uiPriority w:val="99"/>
    <w:rPr>
      <w:rFonts w:ascii="Courier New" w:hAnsi="Courier New" w:cs="Courier New"/>
    </w:rPr>
  </w:style>
  <w:style w:type="character" w:customStyle="1" w:styleId="PlainTextChar">
    <w:name w:val="Plain Text Char"/>
    <w:link w:val="PlainText"/>
    <w:uiPriority w:val="99"/>
    <w:semiHidden/>
    <w:rPr>
      <w:rFonts w:ascii="Courier New" w:hAnsi="Courier New" w:cs="Courier New"/>
      <w:sz w:val="20"/>
      <w:szCs w:val="20"/>
    </w:rPr>
  </w:style>
  <w:style w:type="paragraph" w:styleId="Salutation">
    <w:name w:val="Salutation"/>
    <w:basedOn w:val="Normal"/>
    <w:next w:val="Normal"/>
    <w:link w:val="SalutationChar"/>
    <w:hidden/>
    <w:uiPriority w:val="99"/>
  </w:style>
  <w:style w:type="character" w:customStyle="1" w:styleId="SalutationChar">
    <w:name w:val="Salutation Char"/>
    <w:link w:val="Salutation"/>
    <w:uiPriority w:val="99"/>
    <w:semiHidden/>
    <w:rPr>
      <w:rFonts w:ascii="Arial" w:hAnsi="Arial" w:cs="Arial"/>
      <w:sz w:val="20"/>
      <w:szCs w:val="20"/>
    </w:rPr>
  </w:style>
  <w:style w:type="character" w:styleId="Strong">
    <w:name w:val="Strong"/>
    <w:uiPriority w:val="99"/>
    <w:qFormat/>
    <w:rPr>
      <w:rFonts w:ascii="Arial" w:hAnsi="Arial" w:cs="Arial"/>
      <w:b/>
      <w:bCs/>
      <w:sz w:val="20"/>
      <w:szCs w:val="20"/>
      <w:lang w:val="en-AU"/>
    </w:rPr>
  </w:style>
  <w:style w:type="paragraph" w:customStyle="1" w:styleId="NormalNoSpace">
    <w:name w:val="Normal NoSpace"/>
    <w:basedOn w:val="Normal"/>
    <w:uiPriority w:val="99"/>
    <w:pPr>
      <w:spacing w:before="0"/>
    </w:pPr>
  </w:style>
  <w:style w:type="paragraph" w:customStyle="1" w:styleId="HeaderLine">
    <w:name w:val="HeaderLine"/>
    <w:basedOn w:val="Header"/>
    <w:next w:val="Header"/>
    <w:uiPriority w:val="99"/>
    <w:pPr>
      <w:pBdr>
        <w:bottom w:val="single" w:sz="8" w:space="0" w:color="000000"/>
      </w:pBdr>
      <w:spacing w:line="240" w:lineRule="auto"/>
      <w:ind w:left="-851" w:right="28"/>
    </w:pPr>
    <w:rPr>
      <w:sz w:val="6"/>
      <w:szCs w:val="6"/>
    </w:rPr>
  </w:style>
  <w:style w:type="paragraph" w:customStyle="1" w:styleId="FooterLine">
    <w:name w:val="FooterLine"/>
    <w:basedOn w:val="Footer"/>
    <w:next w:val="Footer"/>
    <w:uiPriority w:val="99"/>
    <w:pPr>
      <w:pBdr>
        <w:top w:val="single" w:sz="8" w:space="0" w:color="000000"/>
      </w:pBdr>
      <w:spacing w:line="240" w:lineRule="auto"/>
      <w:ind w:right="28"/>
    </w:pPr>
    <w:rPr>
      <w:sz w:val="6"/>
      <w:szCs w:val="6"/>
    </w:rPr>
  </w:style>
  <w:style w:type="paragraph" w:customStyle="1" w:styleId="NormalNoSpaceIndent">
    <w:name w:val="Normal NoSpace Indent"/>
    <w:basedOn w:val="NormalIndent"/>
    <w:next w:val="Normal"/>
    <w:uiPriority w:val="99"/>
    <w:pPr>
      <w:spacing w:before="0"/>
    </w:pPr>
  </w:style>
  <w:style w:type="character" w:customStyle="1" w:styleId="AACitation">
    <w:name w:val="AACitation"/>
    <w:uiPriority w:val="99"/>
    <w:rPr>
      <w:rFonts w:ascii="Arial" w:hAnsi="Arial" w:cs="Arial"/>
      <w:i/>
      <w:iCs/>
      <w:sz w:val="20"/>
      <w:szCs w:val="20"/>
      <w:lang w:val="en-AU"/>
    </w:rPr>
  </w:style>
  <w:style w:type="paragraph" w:customStyle="1" w:styleId="DeltaViewTableHeading">
    <w:name w:val="DeltaView Table Heading"/>
    <w:basedOn w:val="Normal"/>
    <w:uiPriority w:val="99"/>
    <w:pPr>
      <w:widowControl/>
      <w:spacing w:before="0" w:after="120" w:line="240" w:lineRule="auto"/>
    </w:pPr>
    <w:rPr>
      <w:b/>
      <w:bCs/>
      <w:sz w:val="24"/>
      <w:szCs w:val="24"/>
      <w:lang w:val="en-US"/>
    </w:rPr>
  </w:style>
  <w:style w:type="paragraph" w:customStyle="1" w:styleId="DeltaViewTableBody">
    <w:name w:val="DeltaView Table Body"/>
    <w:basedOn w:val="Normal"/>
    <w:uiPriority w:val="99"/>
    <w:pPr>
      <w:widowControl/>
      <w:spacing w:before="0" w:line="240" w:lineRule="auto"/>
    </w:pPr>
    <w:rPr>
      <w:sz w:val="24"/>
      <w:szCs w:val="24"/>
      <w:lang w:val="en-US"/>
    </w:rPr>
  </w:style>
  <w:style w:type="paragraph" w:customStyle="1" w:styleId="DeltaViewAnnounce">
    <w:name w:val="DeltaView Announce"/>
    <w:uiPriority w:val="99"/>
    <w:pPr>
      <w:autoSpaceDE w:val="0"/>
      <w:autoSpaceDN w:val="0"/>
      <w:adjustRightInd w:val="0"/>
      <w:spacing w:before="100" w:beforeAutospacing="1" w:after="100" w:afterAutospacing="1"/>
    </w:pPr>
    <w:rPr>
      <w:rFonts w:ascii="Arial" w:hAnsi="Arial" w:cs="Arial"/>
      <w:sz w:val="24"/>
      <w:szCs w:val="24"/>
      <w:lang w:val="en-GB"/>
    </w:rPr>
  </w:style>
  <w:style w:type="character" w:customStyle="1" w:styleId="DeltaViewInsertion">
    <w:name w:val="DeltaView Insertion"/>
    <w:uiPriority w:val="99"/>
    <w:rPr>
      <w:color w:val="0000FF"/>
      <w:u w:val="double"/>
    </w:rPr>
  </w:style>
  <w:style w:type="character" w:customStyle="1" w:styleId="DeltaViewDeletion">
    <w:name w:val="DeltaView Deletion"/>
    <w:uiPriority w:val="99"/>
    <w:rPr>
      <w:strike/>
      <w:color w:val="FF0000"/>
    </w:rPr>
  </w:style>
  <w:style w:type="character" w:customStyle="1" w:styleId="DeltaViewMoveSource">
    <w:name w:val="DeltaView Move Source"/>
    <w:uiPriority w:val="99"/>
    <w:rPr>
      <w:strike/>
      <w:color w:val="00C000"/>
    </w:rPr>
  </w:style>
  <w:style w:type="character" w:customStyle="1" w:styleId="DeltaViewMoveDestination">
    <w:name w:val="DeltaView Move Destination"/>
    <w:uiPriority w:val="99"/>
    <w:rPr>
      <w:color w:val="00C000"/>
      <w:u w:val="double"/>
    </w:rPr>
  </w:style>
  <w:style w:type="character" w:customStyle="1" w:styleId="DeltaViewChangeNumber">
    <w:name w:val="DeltaView Change Number"/>
    <w:uiPriority w:val="99"/>
    <w:rPr>
      <w:color w:val="000000"/>
      <w:vertAlign w:val="superscript"/>
    </w:rPr>
  </w:style>
  <w:style w:type="character" w:customStyle="1" w:styleId="DeltaViewDelimiter">
    <w:name w:val="DeltaView Delimiter"/>
    <w:uiPriority w:val="99"/>
  </w:style>
  <w:style w:type="character" w:customStyle="1" w:styleId="DeltaViewFormatChange">
    <w:name w:val="DeltaView Format Change"/>
    <w:uiPriority w:val="99"/>
    <w:rPr>
      <w:color w:val="000000"/>
    </w:rPr>
  </w:style>
  <w:style w:type="character" w:customStyle="1" w:styleId="DeltaViewMovedDeletion">
    <w:name w:val="DeltaView Moved Deletion"/>
    <w:uiPriority w:val="99"/>
    <w:rPr>
      <w:strike/>
      <w:color w:val="C08080"/>
    </w:rPr>
  </w:style>
  <w:style w:type="character" w:customStyle="1" w:styleId="DeltaViewComment">
    <w:name w:val="DeltaView Comment"/>
    <w:uiPriority w:val="99"/>
    <w:rPr>
      <w:color w:val="000000"/>
    </w:rPr>
  </w:style>
  <w:style w:type="character" w:customStyle="1" w:styleId="DeltaViewStyleChangeText">
    <w:name w:val="DeltaView Style Change Text"/>
    <w:uiPriority w:val="99"/>
    <w:rPr>
      <w:color w:val="000000"/>
      <w:u w:val="double"/>
    </w:rPr>
  </w:style>
  <w:style w:type="character" w:customStyle="1" w:styleId="DeltaViewStyleChangeLabel">
    <w:name w:val="DeltaView Style Change Label"/>
    <w:uiPriority w:val="99"/>
    <w:rPr>
      <w:color w:val="000000"/>
    </w:rPr>
  </w:style>
  <w:style w:type="character" w:customStyle="1" w:styleId="DeltaViewInsertedComment">
    <w:name w:val="DeltaView Inserted Comment"/>
    <w:uiPriority w:val="99"/>
    <w:rPr>
      <w:color w:val="0000FF"/>
      <w:u w:val="double"/>
    </w:rPr>
  </w:style>
  <w:style w:type="character" w:customStyle="1" w:styleId="DeltaViewDeletedComment">
    <w:name w:val="DeltaView Deleted Comment"/>
    <w:uiPriority w:val="99"/>
    <w:rPr>
      <w:strike/>
      <w:color w:val="FF0000"/>
    </w:rPr>
  </w:style>
  <w:style w:type="paragraph" w:styleId="Revision">
    <w:name w:val="Revision"/>
    <w:hidden/>
    <w:uiPriority w:val="99"/>
    <w:semiHidden/>
    <w:rsid w:val="00A41260"/>
    <w:rPr>
      <w:rFonts w:ascii="Arial" w:hAnsi="Arial" w:cs="Arial"/>
    </w:rPr>
  </w:style>
  <w:style w:type="numbering" w:styleId="111111">
    <w:name w:val="Outline List 2"/>
    <w:basedOn w:val="NoList"/>
    <w:uiPriority w:val="99"/>
    <w:semiHidden/>
    <w:unhideWhenUsed/>
    <w:rsid w:val="000274FA"/>
    <w:pPr>
      <w:numPr>
        <w:numId w:val="16"/>
      </w:numPr>
    </w:pPr>
  </w:style>
  <w:style w:type="paragraph" w:customStyle="1" w:styleId="NormalAshurst">
    <w:name w:val="NormalAshurst"/>
    <w:link w:val="NormalAshurstChar"/>
    <w:uiPriority w:val="1"/>
    <w:qFormat/>
    <w:rsid w:val="00586AAC"/>
    <w:pPr>
      <w:suppressAutoHyphens/>
      <w:spacing w:after="200" w:line="300" w:lineRule="atLeast"/>
    </w:pPr>
    <w:rPr>
      <w:rFonts w:asciiTheme="minorHAnsi" w:eastAsiaTheme="minorEastAsia" w:hAnsiTheme="minorHAnsi" w:cstheme="minorBidi"/>
      <w:szCs w:val="24"/>
      <w:lang w:eastAsia="zh-TW"/>
    </w:rPr>
  </w:style>
  <w:style w:type="character" w:customStyle="1" w:styleId="NormalAshurstChar">
    <w:name w:val="NormalAshurst Char"/>
    <w:basedOn w:val="DefaultParagraphFont"/>
    <w:link w:val="NormalAshurst"/>
    <w:uiPriority w:val="1"/>
    <w:rsid w:val="00586AAC"/>
    <w:rPr>
      <w:rFonts w:asciiTheme="minorHAnsi" w:eastAsiaTheme="minorEastAsia" w:hAnsiTheme="minorHAnsi" w:cstheme="minorBidi"/>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513980">
      <w:bodyDiv w:val="1"/>
      <w:marLeft w:val="0"/>
      <w:marRight w:val="0"/>
      <w:marTop w:val="0"/>
      <w:marBottom w:val="0"/>
      <w:divBdr>
        <w:top w:val="none" w:sz="0" w:space="0" w:color="auto"/>
        <w:left w:val="none" w:sz="0" w:space="0" w:color="auto"/>
        <w:bottom w:val="none" w:sz="0" w:space="0" w:color="auto"/>
        <w:right w:val="none" w:sz="0" w:space="0" w:color="auto"/>
      </w:divBdr>
    </w:div>
    <w:div w:id="13463232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customXml" Target="/customXML/item3.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item3.xml>��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C1033-FA92-457C-B807-23722FBA4FFF}">
  <ds:schemaRefs>
    <ds:schemaRef ds:uri="http://www.imanage.com/work/xmlschema"/>
  </ds:schemaRefs>
</ds:datastoreItem>
</file>

<file path=customXml/itemProps2.xml><?xml version="1.0" encoding="utf-8"?>
<ds:datastoreItem xmlns:ds="http://schemas.openxmlformats.org/officeDocument/2006/customXml" ds:itemID="{F792E79C-E791-4E47-A192-E20B8FA9E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3254</Words>
  <Characters>16631</Characters>
  <Application>Microsoft Office Word</Application>
  <DocSecurity>0</DocSecurity>
  <Lines>326</Lines>
  <Paragraphs>165</Paragraphs>
  <ScaleCrop>false</ScaleCrop>
  <HeadingPairs>
    <vt:vector size="2" baseType="variant">
      <vt:variant>
        <vt:lpstr>Title</vt:lpstr>
      </vt:variant>
      <vt:variant>
        <vt:i4>1</vt:i4>
      </vt:variant>
    </vt:vector>
  </HeadingPairs>
  <TitlesOfParts>
    <vt:vector size="1" baseType="lpstr">
      <vt:lpstr/>
    </vt:vector>
  </TitlesOfParts>
  <Company>Norton Rose Fulbright</Company>
  <LinksUpToDate>false</LinksUpToDate>
  <CharactersWithSpaces>19720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Norton Rose Fulbright Australia</cp:lastModifiedBy>
  <cp:revision>8</cp:revision>
  <cp:lastPrinted>1899-12-31T13:00:00Z</cp:lastPrinted>
  <dcterms:created xsi:type="dcterms:W3CDTF">2026-08-11T06:44:00Z</dcterms:created>
  <dcterms:modified xsi:type="dcterms:W3CDTF">2026-09-15T06:16:00Z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ebcac49-0f25-4518-ae1e-999dfc5af7c9_Enabled">
    <vt:lpwstr>true</vt:lpwstr>
  </property>
  <property fmtid="{D5CDD505-2E9C-101B-9397-08002B2CF9AE}" pid="3" name="MSIP_Label_1ebcac49-0f25-4518-ae1e-999dfc5af7c9_SetDate">
    <vt:lpwstr>2025-10-22T00:02:13Z</vt:lpwstr>
  </property>
  <property fmtid="{D5CDD505-2E9C-101B-9397-08002B2CF9AE}" pid="4" name="MSIP_Label_1ebcac49-0f25-4518-ae1e-999dfc5af7c9_Method">
    <vt:lpwstr>Standard</vt:lpwstr>
  </property>
  <property fmtid="{D5CDD505-2E9C-101B-9397-08002B2CF9AE}" pid="5" name="MSIP_Label_1ebcac49-0f25-4518-ae1e-999dfc5af7c9_Name">
    <vt:lpwstr>Confidential</vt:lpwstr>
  </property>
  <property fmtid="{D5CDD505-2E9C-101B-9397-08002B2CF9AE}" pid="6" name="MSIP_Label_1ebcac49-0f25-4518-ae1e-999dfc5af7c9_SiteId">
    <vt:lpwstr>0bb6abcc-a4cb-4fe2-9b52-d3ab6bae9014</vt:lpwstr>
  </property>
  <property fmtid="{D5CDD505-2E9C-101B-9397-08002B2CF9AE}" pid="7" name="MSIP_Label_1ebcac49-0f25-4518-ae1e-999dfc5af7c9_ActionId">
    <vt:lpwstr>98240f2e-0f08-4132-a41c-49ea8c3156b8</vt:lpwstr>
  </property>
  <property fmtid="{D5CDD505-2E9C-101B-9397-08002B2CF9AE}" pid="8" name="MSIP_Label_1ebcac49-0f25-4518-ae1e-999dfc5af7c9_ContentBits">
    <vt:lpwstr>0</vt:lpwstr>
  </property>
  <property fmtid="{D5CDD505-2E9C-101B-9397-08002B2CF9AE}" pid="9" name="AshurstDocRef">
    <vt:lpwstr>AUS_ONPREM\CHBA\306593803.03</vt:lpwstr>
  </property>
  <property fmtid="{D5CDD505-2E9C-101B-9397-08002B2CF9AE}" pid="10" name="AshurstOurRef">
    <vt:lpwstr>CHBA\KNOWLEDGE_SYSTEMS.EXPERTISE_TEAM</vt:lpwstr>
  </property>
  <property fmtid="{D5CDD505-2E9C-101B-9397-08002B2CF9AE}" pid="11" name="AshurstDocNumber">
    <vt:lpwstr>306593803</vt:lpwstr>
  </property>
  <property fmtid="{D5CDD505-2E9C-101B-9397-08002B2CF9AE}" pid="12" name="AshurstVersionNumber">
    <vt:lpwstr/>
  </property>
  <property fmtid="{D5CDD505-2E9C-101B-9397-08002B2CF9AE}" pid="13" name="AshurstDocType">
    <vt:lpwstr/>
  </property>
  <property fmtid="{D5CDD505-2E9C-101B-9397-08002B2CF9AE}" pid="14" name="AshurstLibraryName">
    <vt:lpwstr>AUS_ONPREM</vt:lpwstr>
  </property>
  <property fmtid="{D5CDD505-2E9C-101B-9397-08002B2CF9AE}" pid="15" name="AshurstAuthorID">
    <vt:lpwstr>CHBA</vt:lpwstr>
  </property>
  <property fmtid="{D5CDD505-2E9C-101B-9397-08002B2CF9AE}" pid="16" name="AshurstAuthorName">
    <vt:lpwstr>Baumberg Christine 3149</vt:lpwstr>
  </property>
  <property fmtid="{D5CDD505-2E9C-101B-9397-08002B2CF9AE}" pid="17" name="AshurstTypistID">
    <vt:lpwstr/>
  </property>
  <property fmtid="{D5CDD505-2E9C-101B-9397-08002B2CF9AE}" pid="18" name="AshurstTypistName">
    <vt:lpwstr/>
  </property>
  <property fmtid="{D5CDD505-2E9C-101B-9397-08002B2CF9AE}" pid="19" name="AshurstMatterDescription">
    <vt:lpwstr>Expertise Team</vt:lpwstr>
  </property>
  <property fmtid="{D5CDD505-2E9C-101B-9397-08002B2CF9AE}" pid="20" name="AshurstMatterNumber">
    <vt:lpwstr>EXPERTISE_TEAM</vt:lpwstr>
  </property>
  <property fmtid="{D5CDD505-2E9C-101B-9397-08002B2CF9AE}" pid="21" name="AshurstClientDescription">
    <vt:lpwstr>Knowledge</vt:lpwstr>
  </property>
  <property fmtid="{D5CDD505-2E9C-101B-9397-08002B2CF9AE}" pid="22" name="AshurstClientNumber">
    <vt:lpwstr>KNOWLEDGE_SYSTEMS</vt:lpwstr>
  </property>
  <property fmtid="{D5CDD505-2E9C-101B-9397-08002B2CF9AE}" pid="23" name="AshurstFileNumber">
    <vt:lpwstr>KNOWLEDGE_SYSTEMS.EXPERTISE_TEAM</vt:lpwstr>
  </property>
</Properties>
</file>